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8E2" w:rsidRPr="00C54934" w:rsidRDefault="001738E2" w:rsidP="005B28BB">
      <w:pPr>
        <w:pStyle w:val="a3"/>
        <w:tabs>
          <w:tab w:val="left" w:pos="851"/>
        </w:tabs>
        <w:spacing w:before="240"/>
        <w:jc w:val="left"/>
        <w:rPr>
          <w:rFonts w:ascii="Arial" w:eastAsia="Times New Roman" w:hAnsi="Arial" w:cs="Arial"/>
          <w:b/>
          <w:sz w:val="22"/>
          <w:szCs w:val="22"/>
        </w:rPr>
      </w:pPr>
      <w:bookmarkStart w:id="0" w:name="_Hlk146894278"/>
      <w:bookmarkStart w:id="1" w:name="_GoBack"/>
      <w:bookmarkEnd w:id="1"/>
      <w:r w:rsidRPr="00C54934">
        <w:rPr>
          <w:rFonts w:ascii="Arial" w:eastAsia="Times New Roman" w:hAnsi="Arial" w:cs="Arial"/>
          <w:b/>
          <w:sz w:val="22"/>
          <w:szCs w:val="22"/>
        </w:rPr>
        <w:t xml:space="preserve">Требования КБ «ЭНЕРГОТРАНСБАНК» (АО), </w:t>
      </w:r>
      <w:r w:rsidRPr="00CC7874">
        <w:rPr>
          <w:rFonts w:ascii="Arial" w:eastAsia="Times New Roman" w:hAnsi="Arial" w:cs="Arial"/>
          <w:b/>
          <w:sz w:val="22"/>
          <w:szCs w:val="22"/>
        </w:rPr>
        <w:t>предъявляем</w:t>
      </w:r>
      <w:r>
        <w:rPr>
          <w:rFonts w:ascii="Arial" w:eastAsia="Times New Roman" w:hAnsi="Arial" w:cs="Arial"/>
          <w:b/>
          <w:sz w:val="22"/>
          <w:szCs w:val="22"/>
        </w:rPr>
        <w:t xml:space="preserve">ые </w:t>
      </w:r>
      <w:r w:rsidRPr="00CC7874">
        <w:rPr>
          <w:rFonts w:ascii="Arial" w:eastAsia="Times New Roman" w:hAnsi="Arial" w:cs="Arial"/>
          <w:b/>
          <w:sz w:val="22"/>
          <w:szCs w:val="22"/>
        </w:rPr>
        <w:t xml:space="preserve">к </w:t>
      </w:r>
      <w:bookmarkEnd w:id="0"/>
      <w:r w:rsidRPr="00C54934">
        <w:rPr>
          <w:rFonts w:ascii="Arial" w:eastAsia="Times New Roman" w:hAnsi="Arial" w:cs="Arial"/>
          <w:b/>
          <w:sz w:val="22"/>
          <w:szCs w:val="22"/>
        </w:rPr>
        <w:t>Оценочн</w:t>
      </w:r>
      <w:r>
        <w:rPr>
          <w:rFonts w:ascii="Arial" w:eastAsia="Times New Roman" w:hAnsi="Arial" w:cs="Arial"/>
          <w:b/>
          <w:sz w:val="22"/>
          <w:szCs w:val="22"/>
        </w:rPr>
        <w:t>ой</w:t>
      </w:r>
      <w:r w:rsidRPr="00C54934">
        <w:rPr>
          <w:rFonts w:ascii="Arial" w:eastAsia="Times New Roman" w:hAnsi="Arial" w:cs="Arial"/>
          <w:b/>
          <w:sz w:val="22"/>
          <w:szCs w:val="22"/>
        </w:rPr>
        <w:t xml:space="preserve"> компани</w:t>
      </w:r>
      <w:r>
        <w:rPr>
          <w:rFonts w:ascii="Arial" w:eastAsia="Times New Roman" w:hAnsi="Arial" w:cs="Arial"/>
          <w:b/>
          <w:sz w:val="22"/>
          <w:szCs w:val="22"/>
        </w:rPr>
        <w:t>и</w:t>
      </w:r>
      <w:r w:rsidRPr="00C54934">
        <w:rPr>
          <w:rFonts w:ascii="Arial" w:eastAsia="Times New Roman" w:hAnsi="Arial" w:cs="Arial"/>
          <w:b/>
          <w:sz w:val="22"/>
          <w:szCs w:val="22"/>
        </w:rPr>
        <w:t xml:space="preserve"> </w:t>
      </w:r>
      <w:r w:rsidR="005B28BB">
        <w:rPr>
          <w:rFonts w:ascii="Arial" w:eastAsia="Times New Roman" w:hAnsi="Arial" w:cs="Arial"/>
          <w:b/>
          <w:sz w:val="22"/>
          <w:szCs w:val="22"/>
        </w:rPr>
        <w:br/>
      </w:r>
      <w:r w:rsidRPr="00C54934">
        <w:rPr>
          <w:rFonts w:ascii="Arial" w:eastAsia="Times New Roman" w:hAnsi="Arial" w:cs="Arial"/>
          <w:b/>
          <w:sz w:val="22"/>
          <w:szCs w:val="22"/>
        </w:rPr>
        <w:t>для включения в Перечень рекомендуемых Банком оценочных компаний</w:t>
      </w:r>
    </w:p>
    <w:tbl>
      <w:tblPr>
        <w:tblStyle w:val="a8"/>
        <w:tblW w:w="9778" w:type="dxa"/>
        <w:tblInd w:w="-5" w:type="dxa"/>
        <w:tblLook w:val="04A0" w:firstRow="1" w:lastRow="0" w:firstColumn="1" w:lastColumn="0" w:noHBand="0" w:noVBand="1"/>
      </w:tblPr>
      <w:tblGrid>
        <w:gridCol w:w="709"/>
        <w:gridCol w:w="6379"/>
        <w:gridCol w:w="2690"/>
      </w:tblGrid>
      <w:tr w:rsidR="001738E2" w:rsidTr="000F600C">
        <w:tc>
          <w:tcPr>
            <w:tcW w:w="709" w:type="dxa"/>
          </w:tcPr>
          <w:p w:rsidR="001738E2" w:rsidRPr="00253D19" w:rsidRDefault="001738E2" w:rsidP="000F600C">
            <w:pPr>
              <w:pStyle w:val="a3"/>
              <w:tabs>
                <w:tab w:val="left" w:pos="851"/>
              </w:tabs>
              <w:jc w:val="center"/>
              <w:rPr>
                <w:rFonts w:ascii="Arial" w:eastAsia="Times New Roman" w:hAnsi="Arial" w:cs="Arial"/>
                <w:sz w:val="20"/>
                <w:szCs w:val="20"/>
              </w:rPr>
            </w:pPr>
            <w:r w:rsidRPr="00253D19">
              <w:rPr>
                <w:rFonts w:ascii="Arial" w:eastAsia="Times New Roman" w:hAnsi="Arial" w:cs="Arial"/>
                <w:sz w:val="20"/>
                <w:szCs w:val="20"/>
              </w:rPr>
              <w:t>№ п/п</w:t>
            </w:r>
          </w:p>
        </w:tc>
        <w:tc>
          <w:tcPr>
            <w:tcW w:w="6379" w:type="dxa"/>
          </w:tcPr>
          <w:p w:rsidR="001738E2" w:rsidRPr="00253D19" w:rsidRDefault="001738E2" w:rsidP="000F600C">
            <w:pPr>
              <w:pStyle w:val="a3"/>
              <w:tabs>
                <w:tab w:val="left" w:pos="851"/>
              </w:tabs>
              <w:jc w:val="center"/>
              <w:rPr>
                <w:rFonts w:ascii="Arial" w:eastAsia="Times New Roman" w:hAnsi="Arial" w:cs="Arial"/>
                <w:sz w:val="20"/>
                <w:szCs w:val="20"/>
              </w:rPr>
            </w:pPr>
            <w:r w:rsidRPr="00253D19">
              <w:rPr>
                <w:rFonts w:ascii="Arial" w:eastAsia="Times New Roman" w:hAnsi="Arial" w:cs="Arial"/>
                <w:sz w:val="20"/>
                <w:szCs w:val="20"/>
              </w:rPr>
              <w:t>Критерий</w:t>
            </w:r>
          </w:p>
        </w:tc>
        <w:tc>
          <w:tcPr>
            <w:tcW w:w="2690" w:type="dxa"/>
          </w:tcPr>
          <w:p w:rsidR="001738E2" w:rsidRPr="00253D19" w:rsidRDefault="001738E2" w:rsidP="000F600C">
            <w:pPr>
              <w:pStyle w:val="a3"/>
              <w:tabs>
                <w:tab w:val="left" w:pos="851"/>
              </w:tabs>
              <w:jc w:val="center"/>
              <w:rPr>
                <w:rFonts w:ascii="Arial" w:eastAsia="Times New Roman" w:hAnsi="Arial" w:cs="Arial"/>
                <w:sz w:val="20"/>
                <w:szCs w:val="20"/>
              </w:rPr>
            </w:pPr>
            <w:r w:rsidRPr="00253D19">
              <w:rPr>
                <w:rFonts w:ascii="Arial" w:eastAsia="Times New Roman" w:hAnsi="Arial" w:cs="Arial"/>
                <w:sz w:val="20"/>
                <w:szCs w:val="20"/>
              </w:rPr>
              <w:t>Значение</w:t>
            </w:r>
          </w:p>
        </w:tc>
      </w:tr>
      <w:tr w:rsidR="001738E2" w:rsidTr="000A3747">
        <w:tc>
          <w:tcPr>
            <w:tcW w:w="709" w:type="dxa"/>
          </w:tcPr>
          <w:p w:rsidR="001738E2" w:rsidRPr="00253D19" w:rsidRDefault="001738E2" w:rsidP="000F600C">
            <w:pPr>
              <w:pStyle w:val="a3"/>
              <w:tabs>
                <w:tab w:val="left" w:pos="851"/>
              </w:tabs>
              <w:jc w:val="center"/>
              <w:rPr>
                <w:rFonts w:ascii="Arial" w:eastAsia="Times New Roman" w:hAnsi="Arial" w:cs="Arial"/>
                <w:sz w:val="20"/>
                <w:szCs w:val="20"/>
              </w:rPr>
            </w:pPr>
            <w:r w:rsidRPr="00253D19">
              <w:rPr>
                <w:rFonts w:ascii="Arial" w:eastAsia="Times New Roman" w:hAnsi="Arial" w:cs="Arial"/>
                <w:sz w:val="20"/>
                <w:szCs w:val="20"/>
              </w:rPr>
              <w:t>1</w:t>
            </w:r>
          </w:p>
        </w:tc>
        <w:tc>
          <w:tcPr>
            <w:tcW w:w="6379" w:type="dxa"/>
            <w:vAlign w:val="center"/>
          </w:tcPr>
          <w:p w:rsidR="001738E2" w:rsidRPr="00253D19" w:rsidRDefault="001738E2" w:rsidP="000A3747">
            <w:pPr>
              <w:pStyle w:val="a3"/>
              <w:tabs>
                <w:tab w:val="left" w:pos="851"/>
              </w:tabs>
              <w:jc w:val="left"/>
              <w:rPr>
                <w:rFonts w:ascii="Arial" w:eastAsia="Times New Roman" w:hAnsi="Arial" w:cs="Arial"/>
                <w:sz w:val="20"/>
                <w:szCs w:val="20"/>
              </w:rPr>
            </w:pPr>
            <w:r w:rsidRPr="00253D19">
              <w:rPr>
                <w:rFonts w:ascii="Arial" w:eastAsia="Times New Roman" w:hAnsi="Arial" w:cs="Arial"/>
                <w:sz w:val="20"/>
                <w:szCs w:val="20"/>
              </w:rPr>
              <w:t>Регистрация в порядке, установленном российским законодательством. Организационно-правовая форма</w:t>
            </w:r>
          </w:p>
        </w:tc>
        <w:tc>
          <w:tcPr>
            <w:tcW w:w="2690" w:type="dxa"/>
          </w:tcPr>
          <w:p w:rsidR="001738E2" w:rsidRPr="00253D19" w:rsidRDefault="001738E2" w:rsidP="000F600C">
            <w:pPr>
              <w:pStyle w:val="a3"/>
              <w:tabs>
                <w:tab w:val="left" w:pos="851"/>
              </w:tabs>
              <w:jc w:val="center"/>
              <w:rPr>
                <w:rFonts w:ascii="Arial" w:eastAsia="Times New Roman" w:hAnsi="Arial" w:cs="Arial"/>
                <w:sz w:val="20"/>
                <w:szCs w:val="20"/>
              </w:rPr>
            </w:pPr>
            <w:r w:rsidRPr="00253D19">
              <w:rPr>
                <w:rFonts w:ascii="Arial" w:eastAsia="Times New Roman" w:hAnsi="Arial" w:cs="Arial"/>
                <w:sz w:val="20"/>
                <w:szCs w:val="20"/>
              </w:rPr>
              <w:t>Юридическое лицо</w:t>
            </w:r>
            <w:r w:rsidRPr="00253D19">
              <w:rPr>
                <w:rStyle w:val="a7"/>
                <w:rFonts w:ascii="Arial" w:eastAsia="Times New Roman" w:hAnsi="Arial" w:cs="Arial"/>
                <w:sz w:val="20"/>
                <w:szCs w:val="20"/>
              </w:rPr>
              <w:footnoteReference w:id="1"/>
            </w:r>
          </w:p>
        </w:tc>
      </w:tr>
      <w:tr w:rsidR="001738E2" w:rsidTr="000A3747">
        <w:tc>
          <w:tcPr>
            <w:tcW w:w="709" w:type="dxa"/>
          </w:tcPr>
          <w:p w:rsidR="001738E2" w:rsidRPr="00253D19" w:rsidRDefault="001738E2" w:rsidP="000F600C">
            <w:pPr>
              <w:pStyle w:val="a3"/>
              <w:tabs>
                <w:tab w:val="left" w:pos="851"/>
              </w:tabs>
              <w:jc w:val="center"/>
              <w:rPr>
                <w:rFonts w:ascii="Arial" w:eastAsia="Times New Roman" w:hAnsi="Arial" w:cs="Arial"/>
                <w:sz w:val="20"/>
                <w:szCs w:val="20"/>
              </w:rPr>
            </w:pPr>
            <w:r w:rsidRPr="00253D19">
              <w:rPr>
                <w:rFonts w:ascii="Arial" w:eastAsia="Times New Roman" w:hAnsi="Arial" w:cs="Arial"/>
                <w:sz w:val="20"/>
                <w:szCs w:val="20"/>
              </w:rPr>
              <w:t>2</w:t>
            </w:r>
          </w:p>
        </w:tc>
        <w:tc>
          <w:tcPr>
            <w:tcW w:w="6379" w:type="dxa"/>
            <w:vAlign w:val="center"/>
          </w:tcPr>
          <w:p w:rsidR="001738E2" w:rsidRPr="00253D19" w:rsidRDefault="001738E2" w:rsidP="000A3747">
            <w:pPr>
              <w:pStyle w:val="a3"/>
              <w:tabs>
                <w:tab w:val="left" w:pos="851"/>
              </w:tabs>
              <w:jc w:val="left"/>
              <w:rPr>
                <w:rFonts w:ascii="Arial" w:eastAsia="Times New Roman" w:hAnsi="Arial" w:cs="Arial"/>
                <w:sz w:val="20"/>
                <w:szCs w:val="20"/>
              </w:rPr>
            </w:pPr>
            <w:r w:rsidRPr="00253D19">
              <w:rPr>
                <w:rFonts w:ascii="Arial" w:eastAsia="Times New Roman" w:hAnsi="Arial" w:cs="Arial"/>
                <w:sz w:val="20"/>
                <w:szCs w:val="20"/>
              </w:rPr>
              <w:t>Осуществление деятельности в соответствии с требованиями, требованиям Федерального закона от 29.07.1998 №135-ФЗ «Об оценочной деятельности в РФ».</w:t>
            </w:r>
          </w:p>
          <w:p w:rsidR="001738E2" w:rsidRPr="00253D19" w:rsidRDefault="001738E2" w:rsidP="000A3747">
            <w:pPr>
              <w:pStyle w:val="a3"/>
              <w:tabs>
                <w:tab w:val="left" w:pos="851"/>
              </w:tabs>
              <w:jc w:val="left"/>
              <w:rPr>
                <w:rFonts w:ascii="Arial" w:eastAsia="Times New Roman" w:hAnsi="Arial" w:cs="Arial"/>
                <w:sz w:val="20"/>
                <w:szCs w:val="20"/>
              </w:rPr>
            </w:pPr>
            <w:r w:rsidRPr="00253D19">
              <w:rPr>
                <w:rFonts w:ascii="Arial" w:eastAsia="Times New Roman" w:hAnsi="Arial" w:cs="Arial"/>
                <w:sz w:val="20"/>
                <w:szCs w:val="20"/>
              </w:rPr>
              <w:t>Не находиться в состоянии банкротства, реорганизации, ликвидации, а также административного приостановления деятельности в порядке, предусмотренном Кодексом Российской Федерации об административных правонарушениях.</w:t>
            </w:r>
          </w:p>
          <w:p w:rsidR="001738E2" w:rsidRPr="00253D19" w:rsidRDefault="001738E2" w:rsidP="000A3747">
            <w:pPr>
              <w:suppressAutoHyphens/>
              <w:rPr>
                <w:rFonts w:ascii="Arial" w:eastAsia="Times New Roman" w:hAnsi="Arial" w:cs="Arial"/>
                <w:sz w:val="20"/>
                <w:szCs w:val="20"/>
              </w:rPr>
            </w:pPr>
            <w:r w:rsidRPr="00253D19">
              <w:rPr>
                <w:rFonts w:ascii="Arial" w:eastAsia="Times New Roman" w:hAnsi="Arial" w:cs="Arial"/>
                <w:sz w:val="20"/>
                <w:szCs w:val="20"/>
              </w:rPr>
              <w:t>Не являться аффилированным юридическим лицом риэлтерской/брокерской компании/не совмещать предоставление риэлтерских/брокерских и оценочных</w:t>
            </w:r>
            <w:r>
              <w:rPr>
                <w:rFonts w:ascii="Arial" w:eastAsia="Times New Roman" w:hAnsi="Arial" w:cs="Arial"/>
                <w:sz w:val="20"/>
                <w:szCs w:val="20"/>
              </w:rPr>
              <w:t xml:space="preserve"> услуг</w:t>
            </w:r>
            <w:r w:rsidRPr="00253D19">
              <w:rPr>
                <w:rFonts w:ascii="Arial" w:eastAsia="Times New Roman" w:hAnsi="Arial" w:cs="Arial"/>
                <w:sz w:val="20"/>
                <w:szCs w:val="20"/>
              </w:rPr>
              <w:t>/не иметь в составе общества лиц (участников), предоставляющих риэлтерские/брокерские услуги</w:t>
            </w:r>
          </w:p>
        </w:tc>
        <w:tc>
          <w:tcPr>
            <w:tcW w:w="2690" w:type="dxa"/>
          </w:tcPr>
          <w:p w:rsidR="001738E2" w:rsidRPr="00253D19" w:rsidRDefault="001738E2" w:rsidP="000F600C">
            <w:pPr>
              <w:pStyle w:val="a3"/>
              <w:tabs>
                <w:tab w:val="left" w:pos="851"/>
              </w:tabs>
              <w:jc w:val="center"/>
              <w:rPr>
                <w:rFonts w:ascii="Arial" w:eastAsia="Times New Roman" w:hAnsi="Arial" w:cs="Arial"/>
                <w:sz w:val="20"/>
                <w:szCs w:val="20"/>
              </w:rPr>
            </w:pPr>
            <w:r w:rsidRPr="00253D19">
              <w:rPr>
                <w:rFonts w:ascii="Arial" w:eastAsia="Times New Roman" w:hAnsi="Arial" w:cs="Arial"/>
                <w:sz w:val="20"/>
                <w:szCs w:val="20"/>
              </w:rPr>
              <w:t>Обязательно</w:t>
            </w:r>
          </w:p>
        </w:tc>
      </w:tr>
      <w:tr w:rsidR="001738E2" w:rsidTr="000A3747">
        <w:tc>
          <w:tcPr>
            <w:tcW w:w="709" w:type="dxa"/>
          </w:tcPr>
          <w:p w:rsidR="001738E2" w:rsidRPr="00253D19" w:rsidRDefault="001738E2" w:rsidP="000F600C">
            <w:pPr>
              <w:pStyle w:val="a3"/>
              <w:tabs>
                <w:tab w:val="left" w:pos="851"/>
              </w:tabs>
              <w:jc w:val="center"/>
              <w:rPr>
                <w:rFonts w:ascii="Arial" w:eastAsia="Times New Roman" w:hAnsi="Arial" w:cs="Arial"/>
                <w:sz w:val="20"/>
                <w:szCs w:val="20"/>
              </w:rPr>
            </w:pPr>
            <w:r w:rsidRPr="00253D19">
              <w:rPr>
                <w:rFonts w:ascii="Arial" w:eastAsia="Times New Roman" w:hAnsi="Arial" w:cs="Arial"/>
                <w:sz w:val="20"/>
                <w:szCs w:val="20"/>
              </w:rPr>
              <w:t>3</w:t>
            </w:r>
          </w:p>
        </w:tc>
        <w:tc>
          <w:tcPr>
            <w:tcW w:w="6379" w:type="dxa"/>
            <w:vAlign w:val="center"/>
          </w:tcPr>
          <w:p w:rsidR="001738E2" w:rsidRPr="00253D19" w:rsidRDefault="001738E2" w:rsidP="000A3747">
            <w:pPr>
              <w:pStyle w:val="a3"/>
              <w:tabs>
                <w:tab w:val="left" w:pos="851"/>
              </w:tabs>
              <w:jc w:val="left"/>
              <w:rPr>
                <w:rFonts w:ascii="Arial" w:eastAsia="Times New Roman" w:hAnsi="Arial" w:cs="Arial"/>
                <w:sz w:val="20"/>
                <w:szCs w:val="20"/>
              </w:rPr>
            </w:pPr>
            <w:r w:rsidRPr="00253D19">
              <w:rPr>
                <w:rFonts w:ascii="Arial" w:eastAsia="Times New Roman" w:hAnsi="Arial" w:cs="Arial"/>
                <w:sz w:val="20"/>
                <w:szCs w:val="20"/>
              </w:rPr>
              <w:t>Срок работы на рынке оценочных услуг на территории Российской Федерации</w:t>
            </w:r>
          </w:p>
        </w:tc>
        <w:tc>
          <w:tcPr>
            <w:tcW w:w="2690" w:type="dxa"/>
          </w:tcPr>
          <w:p w:rsidR="001738E2" w:rsidRPr="00253D19" w:rsidRDefault="001738E2" w:rsidP="000F600C">
            <w:pPr>
              <w:pStyle w:val="a3"/>
              <w:tabs>
                <w:tab w:val="left" w:pos="851"/>
              </w:tabs>
              <w:jc w:val="center"/>
              <w:rPr>
                <w:rFonts w:ascii="Arial" w:eastAsia="Times New Roman" w:hAnsi="Arial" w:cs="Arial"/>
                <w:sz w:val="20"/>
                <w:szCs w:val="20"/>
              </w:rPr>
            </w:pPr>
            <w:r w:rsidRPr="00253D19">
              <w:rPr>
                <w:rFonts w:ascii="Arial" w:eastAsia="Times New Roman" w:hAnsi="Arial" w:cs="Arial"/>
                <w:sz w:val="20"/>
                <w:szCs w:val="20"/>
              </w:rPr>
              <w:t>Не менее 3 (Трех) лет</w:t>
            </w:r>
          </w:p>
        </w:tc>
      </w:tr>
      <w:tr w:rsidR="001738E2" w:rsidTr="000A3747">
        <w:trPr>
          <w:trHeight w:val="495"/>
        </w:trPr>
        <w:tc>
          <w:tcPr>
            <w:tcW w:w="709" w:type="dxa"/>
          </w:tcPr>
          <w:p w:rsidR="001738E2" w:rsidRPr="00253D19" w:rsidRDefault="001738E2" w:rsidP="000F600C">
            <w:pPr>
              <w:pStyle w:val="a3"/>
              <w:tabs>
                <w:tab w:val="left" w:pos="851"/>
              </w:tabs>
              <w:jc w:val="center"/>
              <w:rPr>
                <w:rFonts w:ascii="Arial" w:eastAsia="Times New Roman" w:hAnsi="Arial" w:cs="Arial"/>
                <w:sz w:val="20"/>
                <w:szCs w:val="20"/>
              </w:rPr>
            </w:pPr>
            <w:r w:rsidRPr="00253D19">
              <w:rPr>
                <w:rFonts w:ascii="Arial" w:eastAsia="Times New Roman" w:hAnsi="Arial" w:cs="Arial"/>
                <w:sz w:val="20"/>
                <w:szCs w:val="20"/>
              </w:rPr>
              <w:t>4</w:t>
            </w:r>
          </w:p>
        </w:tc>
        <w:tc>
          <w:tcPr>
            <w:tcW w:w="6379" w:type="dxa"/>
            <w:vAlign w:val="center"/>
          </w:tcPr>
          <w:p w:rsidR="001738E2" w:rsidRPr="00253D19" w:rsidRDefault="001738E2" w:rsidP="000A3747">
            <w:pPr>
              <w:pStyle w:val="a3"/>
              <w:tabs>
                <w:tab w:val="left" w:pos="851"/>
              </w:tabs>
              <w:jc w:val="left"/>
              <w:rPr>
                <w:rFonts w:ascii="Arial" w:eastAsia="Times New Roman" w:hAnsi="Arial" w:cs="Arial"/>
                <w:sz w:val="20"/>
                <w:szCs w:val="20"/>
              </w:rPr>
            </w:pPr>
            <w:r w:rsidRPr="00253D19">
              <w:rPr>
                <w:rFonts w:ascii="Arial" w:eastAsia="Times New Roman" w:hAnsi="Arial" w:cs="Arial"/>
                <w:sz w:val="20"/>
                <w:szCs w:val="20"/>
              </w:rPr>
              <w:t>Страхование ответственности Оценочной компании (как юридического лица) на сумму</w:t>
            </w:r>
          </w:p>
        </w:tc>
        <w:tc>
          <w:tcPr>
            <w:tcW w:w="2690" w:type="dxa"/>
          </w:tcPr>
          <w:p w:rsidR="001738E2" w:rsidRPr="00253D19" w:rsidRDefault="001738E2" w:rsidP="000F600C">
            <w:pPr>
              <w:pStyle w:val="a3"/>
              <w:tabs>
                <w:tab w:val="left" w:pos="851"/>
              </w:tabs>
              <w:jc w:val="center"/>
              <w:rPr>
                <w:rFonts w:ascii="Arial" w:eastAsia="Times New Roman" w:hAnsi="Arial" w:cs="Arial"/>
                <w:sz w:val="20"/>
                <w:szCs w:val="20"/>
              </w:rPr>
            </w:pPr>
            <w:r w:rsidRPr="00253D19">
              <w:rPr>
                <w:rFonts w:ascii="Arial" w:eastAsia="Times New Roman" w:hAnsi="Arial" w:cs="Arial"/>
                <w:sz w:val="20"/>
                <w:szCs w:val="20"/>
              </w:rPr>
              <w:t>Не менее 50 (Пятидесяти) млн. рублей</w:t>
            </w:r>
          </w:p>
        </w:tc>
      </w:tr>
      <w:tr w:rsidR="001738E2" w:rsidTr="000A3747">
        <w:tc>
          <w:tcPr>
            <w:tcW w:w="709" w:type="dxa"/>
          </w:tcPr>
          <w:p w:rsidR="001738E2" w:rsidRPr="00253D19" w:rsidRDefault="001738E2" w:rsidP="000F600C">
            <w:pPr>
              <w:pStyle w:val="a3"/>
              <w:tabs>
                <w:tab w:val="left" w:pos="851"/>
              </w:tabs>
              <w:jc w:val="center"/>
              <w:rPr>
                <w:rFonts w:ascii="Arial" w:eastAsia="Times New Roman" w:hAnsi="Arial" w:cs="Arial"/>
                <w:sz w:val="20"/>
                <w:szCs w:val="20"/>
              </w:rPr>
            </w:pPr>
            <w:r w:rsidRPr="00253D19">
              <w:rPr>
                <w:rFonts w:ascii="Arial" w:eastAsia="Times New Roman" w:hAnsi="Arial" w:cs="Arial"/>
                <w:sz w:val="20"/>
                <w:szCs w:val="20"/>
              </w:rPr>
              <w:t>5</w:t>
            </w:r>
          </w:p>
        </w:tc>
        <w:tc>
          <w:tcPr>
            <w:tcW w:w="6379" w:type="dxa"/>
            <w:vAlign w:val="center"/>
          </w:tcPr>
          <w:p w:rsidR="001738E2" w:rsidRPr="00253D19" w:rsidRDefault="001738E2" w:rsidP="000A3747">
            <w:pPr>
              <w:pStyle w:val="a3"/>
              <w:tabs>
                <w:tab w:val="left" w:pos="851"/>
              </w:tabs>
              <w:jc w:val="left"/>
              <w:rPr>
                <w:rFonts w:ascii="Arial" w:eastAsia="Times New Roman" w:hAnsi="Arial" w:cs="Arial"/>
                <w:sz w:val="20"/>
                <w:szCs w:val="20"/>
              </w:rPr>
            </w:pPr>
            <w:r w:rsidRPr="00253D19">
              <w:rPr>
                <w:rFonts w:ascii="Arial" w:eastAsia="Times New Roman" w:hAnsi="Arial" w:cs="Arial"/>
                <w:sz w:val="20"/>
                <w:szCs w:val="20"/>
              </w:rPr>
              <w:t xml:space="preserve">Количество Оценщиков в штате, для которых данная организация является основным местом работы, и которые не персонифицированы (учтены по основному месту работы) в другой рекомендуемой Банком Оценочной компании, </w:t>
            </w:r>
            <w:r w:rsidRPr="00253D19">
              <w:rPr>
                <w:rFonts w:ascii="Arial" w:eastAsia="Times New Roman" w:hAnsi="Arial" w:cs="Arial"/>
                <w:i/>
                <w:sz w:val="20"/>
                <w:szCs w:val="20"/>
              </w:rPr>
              <w:t>имеющих:</w:t>
            </w:r>
          </w:p>
        </w:tc>
        <w:tc>
          <w:tcPr>
            <w:tcW w:w="2690" w:type="dxa"/>
          </w:tcPr>
          <w:p w:rsidR="001738E2" w:rsidRPr="00253D19" w:rsidRDefault="001738E2" w:rsidP="000F600C">
            <w:pPr>
              <w:pStyle w:val="a3"/>
              <w:tabs>
                <w:tab w:val="left" w:pos="851"/>
              </w:tabs>
              <w:jc w:val="center"/>
              <w:rPr>
                <w:rFonts w:ascii="Arial" w:eastAsia="Times New Roman" w:hAnsi="Arial" w:cs="Arial"/>
                <w:sz w:val="20"/>
                <w:szCs w:val="20"/>
              </w:rPr>
            </w:pPr>
            <w:r w:rsidRPr="00253D19">
              <w:rPr>
                <w:rFonts w:ascii="Arial" w:eastAsia="Times New Roman" w:hAnsi="Arial" w:cs="Arial"/>
                <w:sz w:val="20"/>
                <w:szCs w:val="20"/>
              </w:rPr>
              <w:t>Не менее 2-х</w:t>
            </w:r>
          </w:p>
        </w:tc>
      </w:tr>
      <w:tr w:rsidR="001738E2" w:rsidTr="000A3747">
        <w:tc>
          <w:tcPr>
            <w:tcW w:w="709" w:type="dxa"/>
          </w:tcPr>
          <w:p w:rsidR="001738E2" w:rsidRPr="00253D19" w:rsidRDefault="001738E2" w:rsidP="000F600C">
            <w:pPr>
              <w:pStyle w:val="a3"/>
              <w:tabs>
                <w:tab w:val="left" w:pos="851"/>
              </w:tabs>
              <w:jc w:val="center"/>
              <w:rPr>
                <w:rFonts w:ascii="Arial" w:eastAsia="Times New Roman" w:hAnsi="Arial" w:cs="Arial"/>
                <w:sz w:val="20"/>
                <w:szCs w:val="20"/>
              </w:rPr>
            </w:pPr>
            <w:r w:rsidRPr="00253D19">
              <w:rPr>
                <w:rFonts w:ascii="Arial" w:eastAsia="Times New Roman" w:hAnsi="Arial" w:cs="Arial"/>
                <w:sz w:val="20"/>
                <w:szCs w:val="20"/>
              </w:rPr>
              <w:t>5.1</w:t>
            </w:r>
          </w:p>
        </w:tc>
        <w:tc>
          <w:tcPr>
            <w:tcW w:w="6379" w:type="dxa"/>
            <w:vAlign w:val="center"/>
          </w:tcPr>
          <w:p w:rsidR="001738E2" w:rsidRPr="00253D19" w:rsidRDefault="001738E2" w:rsidP="000A3747">
            <w:pPr>
              <w:pStyle w:val="a3"/>
              <w:tabs>
                <w:tab w:val="left" w:pos="851"/>
              </w:tabs>
              <w:jc w:val="left"/>
              <w:rPr>
                <w:rFonts w:ascii="Arial" w:eastAsia="Times New Roman" w:hAnsi="Arial" w:cs="Arial"/>
                <w:sz w:val="20"/>
                <w:szCs w:val="20"/>
              </w:rPr>
            </w:pPr>
            <w:r w:rsidRPr="00253D19">
              <w:rPr>
                <w:rFonts w:ascii="Arial" w:eastAsia="Times New Roman" w:hAnsi="Arial" w:cs="Arial"/>
                <w:sz w:val="20"/>
                <w:szCs w:val="20"/>
              </w:rPr>
              <w:t>документ об образовании, подтверждающий получение профессиональных знаний в области оценочной деятельности в соответствии с образовательными программами высшего профессионального образования, дополнительного профессионального образования или программами по профессиональной переподготовке</w:t>
            </w:r>
          </w:p>
        </w:tc>
        <w:tc>
          <w:tcPr>
            <w:tcW w:w="2690" w:type="dxa"/>
          </w:tcPr>
          <w:p w:rsidR="001738E2" w:rsidRPr="00253D19" w:rsidRDefault="001738E2" w:rsidP="000F600C">
            <w:pPr>
              <w:pStyle w:val="a3"/>
              <w:tabs>
                <w:tab w:val="left" w:pos="851"/>
              </w:tabs>
              <w:jc w:val="center"/>
              <w:rPr>
                <w:rFonts w:ascii="Arial" w:eastAsia="Times New Roman" w:hAnsi="Arial" w:cs="Arial"/>
                <w:sz w:val="20"/>
                <w:szCs w:val="20"/>
              </w:rPr>
            </w:pPr>
            <w:r w:rsidRPr="00253D19">
              <w:rPr>
                <w:rFonts w:ascii="Arial" w:eastAsia="Times New Roman" w:hAnsi="Arial" w:cs="Arial"/>
                <w:sz w:val="20"/>
                <w:szCs w:val="20"/>
              </w:rPr>
              <w:t>Обязательно</w:t>
            </w:r>
          </w:p>
        </w:tc>
      </w:tr>
      <w:tr w:rsidR="001738E2" w:rsidTr="000A3747">
        <w:tc>
          <w:tcPr>
            <w:tcW w:w="709" w:type="dxa"/>
          </w:tcPr>
          <w:p w:rsidR="001738E2" w:rsidRPr="00253D19" w:rsidRDefault="001738E2" w:rsidP="000F600C">
            <w:pPr>
              <w:pStyle w:val="a3"/>
              <w:tabs>
                <w:tab w:val="left" w:pos="851"/>
              </w:tabs>
              <w:jc w:val="center"/>
              <w:rPr>
                <w:rFonts w:ascii="Arial" w:eastAsia="Times New Roman" w:hAnsi="Arial" w:cs="Arial"/>
                <w:sz w:val="20"/>
                <w:szCs w:val="20"/>
              </w:rPr>
            </w:pPr>
            <w:r w:rsidRPr="00253D19">
              <w:rPr>
                <w:rFonts w:ascii="Arial" w:eastAsia="Times New Roman" w:hAnsi="Arial" w:cs="Arial"/>
                <w:sz w:val="20"/>
                <w:szCs w:val="20"/>
              </w:rPr>
              <w:t>5.2</w:t>
            </w:r>
          </w:p>
        </w:tc>
        <w:tc>
          <w:tcPr>
            <w:tcW w:w="6379" w:type="dxa"/>
            <w:vAlign w:val="center"/>
          </w:tcPr>
          <w:p w:rsidR="001738E2" w:rsidRPr="00253D19" w:rsidRDefault="001738E2" w:rsidP="000A3747">
            <w:pPr>
              <w:pStyle w:val="a3"/>
              <w:tabs>
                <w:tab w:val="left" w:pos="851"/>
              </w:tabs>
              <w:jc w:val="left"/>
              <w:rPr>
                <w:rFonts w:ascii="Arial" w:eastAsia="Times New Roman" w:hAnsi="Arial" w:cs="Arial"/>
                <w:sz w:val="20"/>
                <w:szCs w:val="20"/>
              </w:rPr>
            </w:pPr>
            <w:r w:rsidRPr="00253D19">
              <w:rPr>
                <w:rFonts w:ascii="Arial" w:eastAsia="Times New Roman" w:hAnsi="Arial" w:cs="Arial"/>
                <w:sz w:val="20"/>
                <w:szCs w:val="20"/>
              </w:rPr>
              <w:t>членство в одной из саморегулируемых организаций оценщиков, включенной в единый государственный реестр саморегулируемых организаций оценщиков</w:t>
            </w:r>
          </w:p>
        </w:tc>
        <w:tc>
          <w:tcPr>
            <w:tcW w:w="2690" w:type="dxa"/>
          </w:tcPr>
          <w:p w:rsidR="001738E2" w:rsidRPr="00253D19" w:rsidRDefault="001738E2" w:rsidP="000F600C">
            <w:pPr>
              <w:pStyle w:val="a3"/>
              <w:tabs>
                <w:tab w:val="left" w:pos="851"/>
              </w:tabs>
              <w:jc w:val="center"/>
              <w:rPr>
                <w:rFonts w:ascii="Arial" w:eastAsia="Times New Roman" w:hAnsi="Arial" w:cs="Arial"/>
                <w:sz w:val="20"/>
                <w:szCs w:val="20"/>
              </w:rPr>
            </w:pPr>
            <w:r w:rsidRPr="00253D19">
              <w:rPr>
                <w:rFonts w:ascii="Arial" w:eastAsia="Times New Roman" w:hAnsi="Arial" w:cs="Arial"/>
                <w:sz w:val="20"/>
                <w:szCs w:val="20"/>
              </w:rPr>
              <w:t>Обязательно</w:t>
            </w:r>
          </w:p>
        </w:tc>
      </w:tr>
      <w:tr w:rsidR="001738E2" w:rsidTr="000A3747">
        <w:tc>
          <w:tcPr>
            <w:tcW w:w="709" w:type="dxa"/>
          </w:tcPr>
          <w:p w:rsidR="001738E2" w:rsidRPr="00253D19" w:rsidRDefault="001738E2" w:rsidP="000F600C">
            <w:pPr>
              <w:pStyle w:val="a3"/>
              <w:tabs>
                <w:tab w:val="left" w:pos="851"/>
              </w:tabs>
              <w:jc w:val="center"/>
              <w:rPr>
                <w:rFonts w:ascii="Arial" w:eastAsia="Times New Roman" w:hAnsi="Arial" w:cs="Arial"/>
                <w:sz w:val="20"/>
                <w:szCs w:val="20"/>
              </w:rPr>
            </w:pPr>
            <w:r w:rsidRPr="00253D19">
              <w:rPr>
                <w:rFonts w:ascii="Arial" w:eastAsia="Times New Roman" w:hAnsi="Arial" w:cs="Arial"/>
                <w:sz w:val="20"/>
                <w:szCs w:val="20"/>
              </w:rPr>
              <w:t>5.3</w:t>
            </w:r>
          </w:p>
        </w:tc>
        <w:tc>
          <w:tcPr>
            <w:tcW w:w="6379" w:type="dxa"/>
            <w:vAlign w:val="center"/>
          </w:tcPr>
          <w:p w:rsidR="001738E2" w:rsidRPr="00253D19" w:rsidRDefault="001738E2" w:rsidP="000A3747">
            <w:pPr>
              <w:pStyle w:val="a3"/>
              <w:tabs>
                <w:tab w:val="left" w:pos="851"/>
              </w:tabs>
              <w:jc w:val="left"/>
              <w:rPr>
                <w:rFonts w:ascii="Arial" w:eastAsia="Times New Roman" w:hAnsi="Arial" w:cs="Arial"/>
                <w:sz w:val="20"/>
                <w:szCs w:val="20"/>
              </w:rPr>
            </w:pPr>
            <w:r w:rsidRPr="00253D19">
              <w:rPr>
                <w:rFonts w:ascii="Arial" w:eastAsia="Times New Roman" w:hAnsi="Arial" w:cs="Arial"/>
                <w:sz w:val="20"/>
                <w:szCs w:val="20"/>
              </w:rPr>
              <w:t>стаж работы в оценочной деятельности</w:t>
            </w:r>
          </w:p>
        </w:tc>
        <w:tc>
          <w:tcPr>
            <w:tcW w:w="2690" w:type="dxa"/>
          </w:tcPr>
          <w:p w:rsidR="001738E2" w:rsidRPr="00253D19" w:rsidRDefault="001738E2" w:rsidP="000F600C">
            <w:pPr>
              <w:pStyle w:val="a3"/>
              <w:tabs>
                <w:tab w:val="left" w:pos="851"/>
              </w:tabs>
              <w:jc w:val="center"/>
              <w:rPr>
                <w:rFonts w:ascii="Arial" w:eastAsia="Times New Roman" w:hAnsi="Arial" w:cs="Arial"/>
                <w:sz w:val="20"/>
                <w:szCs w:val="20"/>
              </w:rPr>
            </w:pPr>
            <w:r w:rsidRPr="00253D19">
              <w:rPr>
                <w:rFonts w:ascii="Arial" w:eastAsia="Times New Roman" w:hAnsi="Arial" w:cs="Arial"/>
                <w:sz w:val="20"/>
                <w:szCs w:val="20"/>
              </w:rPr>
              <w:t>Не менее 3 (Трех) лет</w:t>
            </w:r>
          </w:p>
        </w:tc>
      </w:tr>
      <w:tr w:rsidR="001738E2" w:rsidTr="000A3747">
        <w:tc>
          <w:tcPr>
            <w:tcW w:w="709" w:type="dxa"/>
            <w:tcBorders>
              <w:bottom w:val="single" w:sz="4" w:space="0" w:color="auto"/>
            </w:tcBorders>
          </w:tcPr>
          <w:p w:rsidR="001738E2" w:rsidRPr="00253D19" w:rsidRDefault="001738E2" w:rsidP="000F600C">
            <w:pPr>
              <w:pStyle w:val="a3"/>
              <w:tabs>
                <w:tab w:val="left" w:pos="851"/>
              </w:tabs>
              <w:jc w:val="center"/>
              <w:rPr>
                <w:rFonts w:ascii="Arial" w:eastAsia="Times New Roman" w:hAnsi="Arial" w:cs="Arial"/>
                <w:sz w:val="20"/>
                <w:szCs w:val="20"/>
              </w:rPr>
            </w:pPr>
            <w:r w:rsidRPr="00253D19">
              <w:rPr>
                <w:rFonts w:ascii="Arial" w:eastAsia="Times New Roman" w:hAnsi="Arial" w:cs="Arial"/>
                <w:sz w:val="20"/>
                <w:szCs w:val="20"/>
              </w:rPr>
              <w:t>5.4</w:t>
            </w:r>
          </w:p>
        </w:tc>
        <w:tc>
          <w:tcPr>
            <w:tcW w:w="6379" w:type="dxa"/>
            <w:tcBorders>
              <w:bottom w:val="single" w:sz="4" w:space="0" w:color="auto"/>
            </w:tcBorders>
            <w:vAlign w:val="center"/>
          </w:tcPr>
          <w:p w:rsidR="001738E2" w:rsidRPr="00253D19" w:rsidRDefault="001738E2" w:rsidP="000A3747">
            <w:pPr>
              <w:pStyle w:val="a3"/>
              <w:tabs>
                <w:tab w:val="left" w:pos="851"/>
              </w:tabs>
              <w:jc w:val="left"/>
              <w:rPr>
                <w:rFonts w:ascii="Arial" w:eastAsia="Times New Roman" w:hAnsi="Arial" w:cs="Arial"/>
                <w:sz w:val="20"/>
                <w:szCs w:val="20"/>
              </w:rPr>
            </w:pPr>
            <w:r w:rsidRPr="00253D19">
              <w:rPr>
                <w:rFonts w:ascii="Arial" w:eastAsia="Times New Roman" w:hAnsi="Arial" w:cs="Arial"/>
                <w:sz w:val="20"/>
                <w:szCs w:val="20"/>
              </w:rPr>
              <w:t>договор (полис) обязательного страхования ответственности Оценщика в соответствии с требованиями, требованиям Федерального закона от 29.07.1998 №135-ФЗ «Об оценочной деятельности в РФ»</w:t>
            </w:r>
          </w:p>
        </w:tc>
        <w:tc>
          <w:tcPr>
            <w:tcW w:w="2690" w:type="dxa"/>
            <w:tcBorders>
              <w:bottom w:val="single" w:sz="4" w:space="0" w:color="auto"/>
            </w:tcBorders>
          </w:tcPr>
          <w:p w:rsidR="001738E2" w:rsidRPr="00253D19" w:rsidRDefault="001738E2" w:rsidP="000F600C">
            <w:pPr>
              <w:pStyle w:val="a3"/>
              <w:tabs>
                <w:tab w:val="left" w:pos="851"/>
              </w:tabs>
              <w:jc w:val="center"/>
              <w:rPr>
                <w:rFonts w:ascii="Arial" w:eastAsia="Times New Roman" w:hAnsi="Arial" w:cs="Arial"/>
                <w:sz w:val="20"/>
                <w:szCs w:val="20"/>
              </w:rPr>
            </w:pPr>
            <w:r w:rsidRPr="00253D19">
              <w:rPr>
                <w:rFonts w:ascii="Arial" w:eastAsia="Times New Roman" w:hAnsi="Arial" w:cs="Arial"/>
                <w:sz w:val="20"/>
                <w:szCs w:val="20"/>
              </w:rPr>
              <w:t>Обязательно</w:t>
            </w:r>
          </w:p>
        </w:tc>
      </w:tr>
      <w:tr w:rsidR="001738E2" w:rsidTr="000A3747">
        <w:tc>
          <w:tcPr>
            <w:tcW w:w="709" w:type="dxa"/>
            <w:tcBorders>
              <w:top w:val="single" w:sz="4" w:space="0" w:color="auto"/>
              <w:left w:val="single" w:sz="4" w:space="0" w:color="auto"/>
              <w:bottom w:val="nil"/>
              <w:right w:val="single" w:sz="4" w:space="0" w:color="auto"/>
            </w:tcBorders>
          </w:tcPr>
          <w:p w:rsidR="001738E2" w:rsidRPr="00253D19" w:rsidRDefault="001738E2" w:rsidP="000F600C">
            <w:pPr>
              <w:pStyle w:val="a3"/>
              <w:tabs>
                <w:tab w:val="left" w:pos="851"/>
              </w:tabs>
              <w:jc w:val="center"/>
              <w:rPr>
                <w:rFonts w:ascii="Arial" w:eastAsia="Times New Roman" w:hAnsi="Arial" w:cs="Arial"/>
                <w:sz w:val="20"/>
                <w:szCs w:val="20"/>
              </w:rPr>
            </w:pPr>
            <w:r w:rsidRPr="00253D19">
              <w:rPr>
                <w:rFonts w:ascii="Arial" w:eastAsia="Times New Roman" w:hAnsi="Arial" w:cs="Arial"/>
                <w:sz w:val="20"/>
                <w:szCs w:val="20"/>
              </w:rPr>
              <w:t>5.5</w:t>
            </w:r>
          </w:p>
        </w:tc>
        <w:tc>
          <w:tcPr>
            <w:tcW w:w="6379" w:type="dxa"/>
            <w:tcBorders>
              <w:top w:val="single" w:sz="4" w:space="0" w:color="auto"/>
              <w:left w:val="single" w:sz="4" w:space="0" w:color="auto"/>
              <w:bottom w:val="nil"/>
              <w:right w:val="single" w:sz="4" w:space="0" w:color="auto"/>
            </w:tcBorders>
            <w:vAlign w:val="center"/>
          </w:tcPr>
          <w:p w:rsidR="001738E2" w:rsidRPr="00253D19" w:rsidRDefault="001738E2" w:rsidP="000A3747">
            <w:pPr>
              <w:pStyle w:val="a3"/>
              <w:tabs>
                <w:tab w:val="left" w:pos="851"/>
              </w:tabs>
              <w:jc w:val="left"/>
              <w:rPr>
                <w:rFonts w:ascii="Arial" w:eastAsia="Times New Roman" w:hAnsi="Arial" w:cs="Arial"/>
                <w:sz w:val="20"/>
                <w:szCs w:val="20"/>
              </w:rPr>
            </w:pPr>
            <w:r w:rsidRPr="00253D19">
              <w:rPr>
                <w:rFonts w:ascii="Arial" w:eastAsia="Times New Roman" w:hAnsi="Arial" w:cs="Arial"/>
                <w:sz w:val="20"/>
                <w:szCs w:val="20"/>
              </w:rPr>
              <w:t>квалификационные аттестаты в области оценочной деятельности по направлениям оценки:</w:t>
            </w:r>
          </w:p>
        </w:tc>
        <w:tc>
          <w:tcPr>
            <w:tcW w:w="2690" w:type="dxa"/>
            <w:tcBorders>
              <w:top w:val="single" w:sz="4" w:space="0" w:color="auto"/>
              <w:left w:val="single" w:sz="4" w:space="0" w:color="auto"/>
              <w:bottom w:val="nil"/>
              <w:right w:val="single" w:sz="4" w:space="0" w:color="auto"/>
            </w:tcBorders>
          </w:tcPr>
          <w:p w:rsidR="001738E2" w:rsidRPr="00253D19" w:rsidRDefault="001738E2" w:rsidP="000F600C">
            <w:pPr>
              <w:pStyle w:val="a3"/>
              <w:tabs>
                <w:tab w:val="left" w:pos="851"/>
              </w:tabs>
              <w:jc w:val="center"/>
              <w:rPr>
                <w:rFonts w:ascii="Arial" w:eastAsia="Times New Roman" w:hAnsi="Arial" w:cs="Arial"/>
                <w:sz w:val="20"/>
                <w:szCs w:val="20"/>
              </w:rPr>
            </w:pPr>
          </w:p>
        </w:tc>
      </w:tr>
      <w:tr w:rsidR="001738E2" w:rsidTr="000A3747">
        <w:tc>
          <w:tcPr>
            <w:tcW w:w="709" w:type="dxa"/>
            <w:tcBorders>
              <w:top w:val="nil"/>
              <w:left w:val="single" w:sz="4" w:space="0" w:color="auto"/>
              <w:bottom w:val="nil"/>
              <w:right w:val="single" w:sz="4" w:space="0" w:color="auto"/>
            </w:tcBorders>
          </w:tcPr>
          <w:p w:rsidR="001738E2" w:rsidRPr="00253D19" w:rsidRDefault="001738E2" w:rsidP="000F600C">
            <w:pPr>
              <w:pStyle w:val="a3"/>
              <w:tabs>
                <w:tab w:val="left" w:pos="851"/>
              </w:tabs>
              <w:jc w:val="center"/>
              <w:rPr>
                <w:rFonts w:ascii="Arial" w:eastAsia="Times New Roman" w:hAnsi="Arial" w:cs="Arial"/>
                <w:sz w:val="20"/>
                <w:szCs w:val="20"/>
              </w:rPr>
            </w:pPr>
          </w:p>
        </w:tc>
        <w:tc>
          <w:tcPr>
            <w:tcW w:w="6379" w:type="dxa"/>
            <w:tcBorders>
              <w:top w:val="nil"/>
              <w:left w:val="single" w:sz="4" w:space="0" w:color="auto"/>
              <w:bottom w:val="nil"/>
              <w:right w:val="single" w:sz="4" w:space="0" w:color="auto"/>
            </w:tcBorders>
            <w:vAlign w:val="center"/>
          </w:tcPr>
          <w:p w:rsidR="001738E2" w:rsidRPr="00253D19" w:rsidRDefault="001738E2" w:rsidP="000A3747">
            <w:pPr>
              <w:pStyle w:val="a3"/>
              <w:numPr>
                <w:ilvl w:val="0"/>
                <w:numId w:val="1"/>
              </w:numPr>
              <w:tabs>
                <w:tab w:val="left" w:pos="851"/>
              </w:tabs>
              <w:ind w:left="237" w:hanging="237"/>
              <w:jc w:val="left"/>
              <w:rPr>
                <w:rFonts w:ascii="Arial" w:eastAsia="Times New Roman" w:hAnsi="Arial" w:cs="Arial"/>
                <w:sz w:val="20"/>
                <w:szCs w:val="20"/>
              </w:rPr>
            </w:pPr>
            <w:r w:rsidRPr="00253D19">
              <w:rPr>
                <w:rFonts w:ascii="Arial" w:eastAsia="Times New Roman" w:hAnsi="Arial" w:cs="Arial"/>
                <w:sz w:val="20"/>
                <w:szCs w:val="20"/>
              </w:rPr>
              <w:t xml:space="preserve">«Оценка недвижимости» </w:t>
            </w:r>
          </w:p>
        </w:tc>
        <w:tc>
          <w:tcPr>
            <w:tcW w:w="2690" w:type="dxa"/>
            <w:tcBorders>
              <w:top w:val="nil"/>
              <w:left w:val="single" w:sz="4" w:space="0" w:color="auto"/>
              <w:bottom w:val="nil"/>
              <w:right w:val="single" w:sz="4" w:space="0" w:color="auto"/>
            </w:tcBorders>
          </w:tcPr>
          <w:p w:rsidR="001738E2" w:rsidRPr="00253D19" w:rsidRDefault="001738E2" w:rsidP="000F600C">
            <w:pPr>
              <w:pStyle w:val="a3"/>
              <w:tabs>
                <w:tab w:val="left" w:pos="851"/>
              </w:tabs>
              <w:jc w:val="center"/>
              <w:rPr>
                <w:rFonts w:ascii="Arial" w:eastAsia="Times New Roman" w:hAnsi="Arial" w:cs="Arial"/>
                <w:sz w:val="20"/>
                <w:szCs w:val="20"/>
              </w:rPr>
            </w:pPr>
            <w:r w:rsidRPr="00253D19">
              <w:rPr>
                <w:rFonts w:ascii="Arial" w:eastAsia="Times New Roman" w:hAnsi="Arial" w:cs="Arial"/>
                <w:sz w:val="20"/>
                <w:szCs w:val="20"/>
              </w:rPr>
              <w:t>Обязательно</w:t>
            </w:r>
          </w:p>
        </w:tc>
      </w:tr>
      <w:tr w:rsidR="001738E2" w:rsidTr="000A3747">
        <w:tc>
          <w:tcPr>
            <w:tcW w:w="709" w:type="dxa"/>
            <w:tcBorders>
              <w:top w:val="nil"/>
              <w:left w:val="single" w:sz="4" w:space="0" w:color="auto"/>
              <w:bottom w:val="nil"/>
              <w:right w:val="single" w:sz="4" w:space="0" w:color="auto"/>
            </w:tcBorders>
          </w:tcPr>
          <w:p w:rsidR="001738E2" w:rsidRPr="00253D19" w:rsidRDefault="001738E2" w:rsidP="000F600C">
            <w:pPr>
              <w:pStyle w:val="a3"/>
              <w:tabs>
                <w:tab w:val="left" w:pos="851"/>
              </w:tabs>
              <w:jc w:val="center"/>
              <w:rPr>
                <w:rFonts w:ascii="Arial" w:eastAsia="Times New Roman" w:hAnsi="Arial" w:cs="Arial"/>
                <w:sz w:val="20"/>
                <w:szCs w:val="20"/>
              </w:rPr>
            </w:pPr>
          </w:p>
        </w:tc>
        <w:tc>
          <w:tcPr>
            <w:tcW w:w="6379" w:type="dxa"/>
            <w:tcBorders>
              <w:top w:val="nil"/>
              <w:left w:val="single" w:sz="4" w:space="0" w:color="auto"/>
              <w:bottom w:val="nil"/>
              <w:right w:val="single" w:sz="4" w:space="0" w:color="auto"/>
            </w:tcBorders>
            <w:vAlign w:val="center"/>
          </w:tcPr>
          <w:p w:rsidR="001738E2" w:rsidRPr="00253D19" w:rsidRDefault="001738E2" w:rsidP="000A3747">
            <w:pPr>
              <w:pStyle w:val="a3"/>
              <w:numPr>
                <w:ilvl w:val="0"/>
                <w:numId w:val="1"/>
              </w:numPr>
              <w:tabs>
                <w:tab w:val="left" w:pos="851"/>
              </w:tabs>
              <w:ind w:left="237" w:hanging="237"/>
              <w:jc w:val="left"/>
              <w:rPr>
                <w:rFonts w:ascii="Arial" w:eastAsia="Times New Roman" w:hAnsi="Arial" w:cs="Arial"/>
                <w:sz w:val="20"/>
                <w:szCs w:val="20"/>
              </w:rPr>
            </w:pPr>
            <w:r w:rsidRPr="00253D19">
              <w:rPr>
                <w:rFonts w:ascii="Arial" w:eastAsia="Times New Roman" w:hAnsi="Arial" w:cs="Arial"/>
                <w:sz w:val="20"/>
                <w:szCs w:val="20"/>
              </w:rPr>
              <w:t>«Оценка движимого имущества»</w:t>
            </w:r>
          </w:p>
        </w:tc>
        <w:tc>
          <w:tcPr>
            <w:tcW w:w="2690" w:type="dxa"/>
            <w:tcBorders>
              <w:top w:val="nil"/>
              <w:left w:val="single" w:sz="4" w:space="0" w:color="auto"/>
              <w:bottom w:val="nil"/>
              <w:right w:val="single" w:sz="4" w:space="0" w:color="auto"/>
            </w:tcBorders>
          </w:tcPr>
          <w:p w:rsidR="001738E2" w:rsidRPr="00253D19" w:rsidRDefault="001738E2" w:rsidP="000F600C">
            <w:pPr>
              <w:pStyle w:val="a3"/>
              <w:tabs>
                <w:tab w:val="left" w:pos="851"/>
              </w:tabs>
              <w:jc w:val="center"/>
              <w:rPr>
                <w:rFonts w:ascii="Arial" w:eastAsia="Times New Roman" w:hAnsi="Arial" w:cs="Arial"/>
                <w:sz w:val="20"/>
                <w:szCs w:val="20"/>
              </w:rPr>
            </w:pPr>
            <w:r w:rsidRPr="00253D19">
              <w:rPr>
                <w:rFonts w:ascii="Arial" w:eastAsia="Times New Roman" w:hAnsi="Arial" w:cs="Arial"/>
                <w:sz w:val="20"/>
                <w:szCs w:val="20"/>
              </w:rPr>
              <w:t>Обязательно</w:t>
            </w:r>
          </w:p>
        </w:tc>
      </w:tr>
      <w:tr w:rsidR="001738E2" w:rsidTr="000A3747">
        <w:tc>
          <w:tcPr>
            <w:tcW w:w="709" w:type="dxa"/>
            <w:tcBorders>
              <w:top w:val="nil"/>
              <w:left w:val="single" w:sz="4" w:space="0" w:color="auto"/>
              <w:bottom w:val="single" w:sz="4" w:space="0" w:color="auto"/>
              <w:right w:val="single" w:sz="4" w:space="0" w:color="auto"/>
            </w:tcBorders>
          </w:tcPr>
          <w:p w:rsidR="001738E2" w:rsidRPr="00253D19" w:rsidRDefault="001738E2" w:rsidP="000F600C">
            <w:pPr>
              <w:pStyle w:val="a3"/>
              <w:tabs>
                <w:tab w:val="left" w:pos="851"/>
              </w:tabs>
              <w:jc w:val="center"/>
              <w:rPr>
                <w:rFonts w:ascii="Arial" w:eastAsia="Times New Roman" w:hAnsi="Arial" w:cs="Arial"/>
                <w:sz w:val="20"/>
                <w:szCs w:val="20"/>
              </w:rPr>
            </w:pPr>
          </w:p>
        </w:tc>
        <w:tc>
          <w:tcPr>
            <w:tcW w:w="6379" w:type="dxa"/>
            <w:tcBorders>
              <w:top w:val="nil"/>
              <w:left w:val="single" w:sz="4" w:space="0" w:color="auto"/>
              <w:bottom w:val="single" w:sz="4" w:space="0" w:color="auto"/>
              <w:right w:val="single" w:sz="4" w:space="0" w:color="auto"/>
            </w:tcBorders>
            <w:vAlign w:val="center"/>
          </w:tcPr>
          <w:p w:rsidR="001738E2" w:rsidRPr="00253D19" w:rsidRDefault="001738E2" w:rsidP="000A3747">
            <w:pPr>
              <w:pStyle w:val="a3"/>
              <w:numPr>
                <w:ilvl w:val="0"/>
                <w:numId w:val="1"/>
              </w:numPr>
              <w:tabs>
                <w:tab w:val="left" w:pos="851"/>
              </w:tabs>
              <w:ind w:left="237" w:hanging="237"/>
              <w:jc w:val="left"/>
              <w:rPr>
                <w:rFonts w:ascii="Arial" w:eastAsia="Times New Roman" w:hAnsi="Arial" w:cs="Arial"/>
                <w:sz w:val="20"/>
                <w:szCs w:val="20"/>
              </w:rPr>
            </w:pPr>
            <w:r w:rsidRPr="00253D19">
              <w:rPr>
                <w:rFonts w:ascii="Arial" w:eastAsia="Times New Roman" w:hAnsi="Arial" w:cs="Arial"/>
                <w:sz w:val="20"/>
                <w:szCs w:val="20"/>
              </w:rPr>
              <w:t>«Оценка бизнеса»</w:t>
            </w:r>
          </w:p>
        </w:tc>
        <w:tc>
          <w:tcPr>
            <w:tcW w:w="2690" w:type="dxa"/>
            <w:tcBorders>
              <w:top w:val="nil"/>
              <w:left w:val="single" w:sz="4" w:space="0" w:color="auto"/>
              <w:bottom w:val="single" w:sz="4" w:space="0" w:color="auto"/>
              <w:right w:val="single" w:sz="4" w:space="0" w:color="auto"/>
            </w:tcBorders>
          </w:tcPr>
          <w:p w:rsidR="001738E2" w:rsidRPr="00253D19" w:rsidRDefault="001738E2" w:rsidP="000F600C">
            <w:pPr>
              <w:pStyle w:val="a3"/>
              <w:tabs>
                <w:tab w:val="left" w:pos="851"/>
              </w:tabs>
              <w:jc w:val="center"/>
              <w:rPr>
                <w:rFonts w:ascii="Arial" w:eastAsia="Times New Roman" w:hAnsi="Arial" w:cs="Arial"/>
                <w:sz w:val="20"/>
                <w:szCs w:val="20"/>
              </w:rPr>
            </w:pPr>
            <w:r w:rsidRPr="00253D19">
              <w:rPr>
                <w:rFonts w:ascii="Arial" w:eastAsia="Times New Roman" w:hAnsi="Arial" w:cs="Arial"/>
                <w:sz w:val="20"/>
                <w:szCs w:val="20"/>
              </w:rPr>
              <w:t>Рекомендовано</w:t>
            </w:r>
          </w:p>
        </w:tc>
      </w:tr>
      <w:tr w:rsidR="001738E2" w:rsidTr="000A3747">
        <w:tc>
          <w:tcPr>
            <w:tcW w:w="709" w:type="dxa"/>
          </w:tcPr>
          <w:p w:rsidR="001738E2" w:rsidRPr="00253D19" w:rsidRDefault="001738E2" w:rsidP="000F600C">
            <w:pPr>
              <w:pStyle w:val="a3"/>
              <w:tabs>
                <w:tab w:val="left" w:pos="851"/>
              </w:tabs>
              <w:jc w:val="center"/>
              <w:rPr>
                <w:rFonts w:ascii="Arial" w:eastAsia="Times New Roman" w:hAnsi="Arial" w:cs="Arial"/>
                <w:sz w:val="20"/>
                <w:szCs w:val="20"/>
              </w:rPr>
            </w:pPr>
            <w:r w:rsidRPr="00253D19">
              <w:rPr>
                <w:rFonts w:ascii="Arial" w:eastAsia="Times New Roman" w:hAnsi="Arial" w:cs="Arial"/>
                <w:sz w:val="20"/>
                <w:szCs w:val="20"/>
              </w:rPr>
              <w:t>5.6</w:t>
            </w:r>
          </w:p>
        </w:tc>
        <w:tc>
          <w:tcPr>
            <w:tcW w:w="6379" w:type="dxa"/>
            <w:vAlign w:val="center"/>
          </w:tcPr>
          <w:p w:rsidR="001738E2" w:rsidRPr="00253D19" w:rsidRDefault="001738E2" w:rsidP="000A3747">
            <w:pPr>
              <w:pStyle w:val="a3"/>
              <w:tabs>
                <w:tab w:val="left" w:pos="851"/>
              </w:tabs>
              <w:jc w:val="left"/>
              <w:rPr>
                <w:rFonts w:ascii="Arial" w:eastAsia="Times New Roman" w:hAnsi="Arial" w:cs="Arial"/>
                <w:sz w:val="20"/>
                <w:szCs w:val="20"/>
              </w:rPr>
            </w:pPr>
            <w:r w:rsidRPr="00253D19">
              <w:rPr>
                <w:rFonts w:ascii="Arial" w:eastAsia="Times New Roman" w:hAnsi="Arial" w:cs="Arial"/>
                <w:sz w:val="20"/>
                <w:szCs w:val="20"/>
              </w:rPr>
              <w:t>наличие специализации в разных отраслях при оценке узкоспециализированных активов (морские и речные суда, воздушные суда и т.п.)</w:t>
            </w:r>
          </w:p>
        </w:tc>
        <w:tc>
          <w:tcPr>
            <w:tcW w:w="2690" w:type="dxa"/>
          </w:tcPr>
          <w:p w:rsidR="001738E2" w:rsidRPr="00253D19" w:rsidRDefault="001738E2" w:rsidP="000F600C">
            <w:pPr>
              <w:pStyle w:val="a3"/>
              <w:tabs>
                <w:tab w:val="left" w:pos="851"/>
              </w:tabs>
              <w:jc w:val="center"/>
              <w:rPr>
                <w:rFonts w:ascii="Arial" w:eastAsia="Times New Roman" w:hAnsi="Arial" w:cs="Arial"/>
                <w:sz w:val="20"/>
                <w:szCs w:val="20"/>
              </w:rPr>
            </w:pPr>
            <w:r w:rsidRPr="00253D19">
              <w:rPr>
                <w:rFonts w:ascii="Arial" w:eastAsia="Times New Roman" w:hAnsi="Arial" w:cs="Arial"/>
                <w:sz w:val="20"/>
                <w:szCs w:val="20"/>
              </w:rPr>
              <w:t>Рекомендовано</w:t>
            </w:r>
          </w:p>
        </w:tc>
      </w:tr>
      <w:tr w:rsidR="001738E2" w:rsidTr="000A3747">
        <w:tc>
          <w:tcPr>
            <w:tcW w:w="709" w:type="dxa"/>
          </w:tcPr>
          <w:p w:rsidR="001738E2" w:rsidRPr="00253D19" w:rsidRDefault="001738E2" w:rsidP="000F600C">
            <w:pPr>
              <w:pStyle w:val="a3"/>
              <w:tabs>
                <w:tab w:val="left" w:pos="851"/>
              </w:tabs>
              <w:jc w:val="center"/>
              <w:rPr>
                <w:rFonts w:ascii="Arial" w:eastAsia="Times New Roman" w:hAnsi="Arial" w:cs="Arial"/>
                <w:sz w:val="20"/>
                <w:szCs w:val="20"/>
              </w:rPr>
            </w:pPr>
            <w:r w:rsidRPr="00253D19">
              <w:rPr>
                <w:rFonts w:ascii="Arial" w:eastAsia="Times New Roman" w:hAnsi="Arial" w:cs="Arial"/>
                <w:sz w:val="20"/>
                <w:szCs w:val="20"/>
              </w:rPr>
              <w:t>6</w:t>
            </w:r>
          </w:p>
        </w:tc>
        <w:tc>
          <w:tcPr>
            <w:tcW w:w="6379" w:type="dxa"/>
            <w:vAlign w:val="center"/>
          </w:tcPr>
          <w:p w:rsidR="001738E2" w:rsidRPr="00253D19" w:rsidRDefault="001738E2" w:rsidP="000A3747">
            <w:pPr>
              <w:pStyle w:val="a3"/>
              <w:tabs>
                <w:tab w:val="left" w:pos="851"/>
              </w:tabs>
              <w:jc w:val="left"/>
              <w:rPr>
                <w:rFonts w:ascii="Arial" w:eastAsia="Times New Roman" w:hAnsi="Arial" w:cs="Arial"/>
                <w:sz w:val="20"/>
                <w:szCs w:val="20"/>
              </w:rPr>
            </w:pPr>
            <w:r w:rsidRPr="00253D19">
              <w:rPr>
                <w:rFonts w:ascii="Arial" w:eastAsia="Times New Roman" w:hAnsi="Arial" w:cs="Arial"/>
                <w:sz w:val="20"/>
                <w:szCs w:val="20"/>
              </w:rPr>
              <w:t xml:space="preserve">Наличие в организации системы внутреннего контроля качества оказываемых оценочных услуг (документально описанных стандартов (требований) Оценочной организации к качеству Отчетов об оценке и/или подробные внутренние инструкции Оценочной организации по порядку оценки и проверки Отчетов об оценке с закреплением функций контроля) </w:t>
            </w:r>
          </w:p>
        </w:tc>
        <w:tc>
          <w:tcPr>
            <w:tcW w:w="2690" w:type="dxa"/>
          </w:tcPr>
          <w:p w:rsidR="001738E2" w:rsidRPr="00253D19" w:rsidRDefault="001738E2" w:rsidP="000F600C">
            <w:pPr>
              <w:pStyle w:val="a3"/>
              <w:tabs>
                <w:tab w:val="left" w:pos="851"/>
              </w:tabs>
              <w:jc w:val="center"/>
              <w:rPr>
                <w:rFonts w:ascii="Arial" w:eastAsia="Times New Roman" w:hAnsi="Arial" w:cs="Arial"/>
                <w:sz w:val="20"/>
                <w:szCs w:val="20"/>
              </w:rPr>
            </w:pPr>
            <w:r w:rsidRPr="00253D19">
              <w:rPr>
                <w:rFonts w:ascii="Arial" w:eastAsia="Times New Roman" w:hAnsi="Arial" w:cs="Arial"/>
                <w:sz w:val="20"/>
                <w:szCs w:val="20"/>
              </w:rPr>
              <w:t>Обязательно</w:t>
            </w:r>
          </w:p>
        </w:tc>
      </w:tr>
      <w:tr w:rsidR="001738E2" w:rsidTr="000A3747">
        <w:tc>
          <w:tcPr>
            <w:tcW w:w="709" w:type="dxa"/>
          </w:tcPr>
          <w:p w:rsidR="001738E2" w:rsidRPr="00253D19" w:rsidRDefault="001738E2" w:rsidP="000F600C">
            <w:pPr>
              <w:pStyle w:val="a3"/>
              <w:tabs>
                <w:tab w:val="left" w:pos="851"/>
              </w:tabs>
              <w:jc w:val="center"/>
              <w:rPr>
                <w:rFonts w:ascii="Arial" w:eastAsia="Times New Roman" w:hAnsi="Arial" w:cs="Arial"/>
                <w:sz w:val="20"/>
                <w:szCs w:val="20"/>
              </w:rPr>
            </w:pPr>
            <w:r w:rsidRPr="00253D19">
              <w:rPr>
                <w:rFonts w:ascii="Arial" w:eastAsia="Times New Roman" w:hAnsi="Arial" w:cs="Arial"/>
                <w:sz w:val="20"/>
                <w:szCs w:val="20"/>
              </w:rPr>
              <w:t>7</w:t>
            </w:r>
          </w:p>
        </w:tc>
        <w:tc>
          <w:tcPr>
            <w:tcW w:w="6379" w:type="dxa"/>
            <w:vAlign w:val="center"/>
          </w:tcPr>
          <w:p w:rsidR="001738E2" w:rsidRPr="00253D19" w:rsidRDefault="001738E2" w:rsidP="000A3747">
            <w:pPr>
              <w:pStyle w:val="a3"/>
              <w:tabs>
                <w:tab w:val="left" w:pos="851"/>
              </w:tabs>
              <w:jc w:val="left"/>
              <w:rPr>
                <w:rFonts w:ascii="Arial" w:eastAsia="Times New Roman" w:hAnsi="Arial" w:cs="Arial"/>
                <w:sz w:val="20"/>
                <w:szCs w:val="20"/>
              </w:rPr>
            </w:pPr>
            <w:r w:rsidRPr="00253D19">
              <w:rPr>
                <w:rFonts w:ascii="Arial" w:eastAsia="Times New Roman" w:hAnsi="Arial" w:cs="Arial"/>
                <w:sz w:val="20"/>
                <w:szCs w:val="20"/>
              </w:rPr>
              <w:t xml:space="preserve">Наличие положительного опыта взаимодействия с кредитными организациями в области оценки имущества для целей залога </w:t>
            </w:r>
          </w:p>
        </w:tc>
        <w:tc>
          <w:tcPr>
            <w:tcW w:w="2690" w:type="dxa"/>
          </w:tcPr>
          <w:p w:rsidR="001738E2" w:rsidRPr="00253D19" w:rsidRDefault="001738E2" w:rsidP="000F600C">
            <w:pPr>
              <w:pStyle w:val="a3"/>
              <w:tabs>
                <w:tab w:val="left" w:pos="851"/>
              </w:tabs>
              <w:jc w:val="center"/>
              <w:rPr>
                <w:rFonts w:ascii="Arial" w:eastAsia="Times New Roman" w:hAnsi="Arial" w:cs="Arial"/>
                <w:sz w:val="20"/>
                <w:szCs w:val="20"/>
              </w:rPr>
            </w:pPr>
            <w:r w:rsidRPr="00253D19">
              <w:rPr>
                <w:rFonts w:ascii="Arial" w:eastAsia="Times New Roman" w:hAnsi="Arial" w:cs="Arial"/>
                <w:sz w:val="20"/>
                <w:szCs w:val="20"/>
              </w:rPr>
              <w:t>Обязательно</w:t>
            </w:r>
          </w:p>
        </w:tc>
      </w:tr>
      <w:tr w:rsidR="001738E2" w:rsidTr="000A3747">
        <w:tc>
          <w:tcPr>
            <w:tcW w:w="709" w:type="dxa"/>
          </w:tcPr>
          <w:p w:rsidR="001738E2" w:rsidRPr="00253D19" w:rsidRDefault="001738E2" w:rsidP="000F600C">
            <w:pPr>
              <w:pStyle w:val="a3"/>
              <w:tabs>
                <w:tab w:val="left" w:pos="851"/>
              </w:tabs>
              <w:jc w:val="center"/>
              <w:rPr>
                <w:rFonts w:ascii="Arial" w:eastAsia="Times New Roman" w:hAnsi="Arial" w:cs="Arial"/>
                <w:sz w:val="20"/>
                <w:szCs w:val="20"/>
              </w:rPr>
            </w:pPr>
            <w:r w:rsidRPr="00253D19">
              <w:rPr>
                <w:rFonts w:ascii="Arial" w:eastAsia="Times New Roman" w:hAnsi="Arial" w:cs="Arial"/>
                <w:sz w:val="20"/>
                <w:szCs w:val="20"/>
              </w:rPr>
              <w:t>8</w:t>
            </w:r>
          </w:p>
        </w:tc>
        <w:tc>
          <w:tcPr>
            <w:tcW w:w="6379" w:type="dxa"/>
            <w:vAlign w:val="center"/>
          </w:tcPr>
          <w:p w:rsidR="001738E2" w:rsidRPr="00253D19" w:rsidRDefault="001738E2" w:rsidP="000A3747">
            <w:pPr>
              <w:pStyle w:val="a3"/>
              <w:tabs>
                <w:tab w:val="left" w:pos="851"/>
              </w:tabs>
              <w:jc w:val="left"/>
              <w:rPr>
                <w:rFonts w:ascii="Arial" w:eastAsia="Times New Roman" w:hAnsi="Arial" w:cs="Arial"/>
                <w:sz w:val="20"/>
                <w:szCs w:val="20"/>
              </w:rPr>
            </w:pPr>
            <w:r w:rsidRPr="00253D19">
              <w:rPr>
                <w:rFonts w:ascii="Arial" w:eastAsia="Times New Roman" w:hAnsi="Arial" w:cs="Arial"/>
                <w:sz w:val="20"/>
                <w:szCs w:val="20"/>
              </w:rPr>
              <w:t>Отсутствие признаков негативной деловой репутации Оценочной компании/Оценщиков</w:t>
            </w:r>
            <w:r>
              <w:rPr>
                <w:rFonts w:ascii="Arial" w:eastAsia="Times New Roman" w:hAnsi="Arial" w:cs="Arial"/>
                <w:sz w:val="20"/>
                <w:szCs w:val="20"/>
              </w:rPr>
              <w:t xml:space="preserve">, которые номинируются на право выступать </w:t>
            </w:r>
            <w:r w:rsidRPr="00253D19">
              <w:rPr>
                <w:rFonts w:ascii="Arial" w:eastAsia="Times New Roman" w:hAnsi="Arial" w:cs="Arial"/>
                <w:sz w:val="20"/>
                <w:szCs w:val="20"/>
              </w:rPr>
              <w:t>исполнителями работ по оценке имущества Клиентов Банка, в том числе:</w:t>
            </w:r>
          </w:p>
          <w:p w:rsidR="001738E2" w:rsidRPr="00253D19" w:rsidRDefault="001738E2" w:rsidP="000A3747">
            <w:pPr>
              <w:pStyle w:val="a3"/>
              <w:numPr>
                <w:ilvl w:val="0"/>
                <w:numId w:val="1"/>
              </w:numPr>
              <w:tabs>
                <w:tab w:val="left" w:pos="851"/>
              </w:tabs>
              <w:ind w:left="237" w:hanging="237"/>
              <w:jc w:val="left"/>
              <w:rPr>
                <w:rFonts w:ascii="Arial" w:eastAsia="Times New Roman" w:hAnsi="Arial" w:cs="Arial"/>
                <w:sz w:val="20"/>
                <w:szCs w:val="20"/>
              </w:rPr>
            </w:pPr>
            <w:r w:rsidRPr="00253D19">
              <w:rPr>
                <w:rFonts w:ascii="Arial" w:eastAsia="Times New Roman" w:hAnsi="Arial" w:cs="Arial"/>
                <w:sz w:val="20"/>
                <w:szCs w:val="20"/>
              </w:rPr>
              <w:lastRenderedPageBreak/>
              <w:t>неурегулированных предписаний со стороны Федеральной налоговой службы, задолженности по начисленным налогам, сборам и иным обязательным платежам в бюджеты любого уровня;</w:t>
            </w:r>
          </w:p>
          <w:p w:rsidR="001738E2" w:rsidRPr="00253D19" w:rsidRDefault="001738E2" w:rsidP="000A3747">
            <w:pPr>
              <w:pStyle w:val="a3"/>
              <w:numPr>
                <w:ilvl w:val="0"/>
                <w:numId w:val="1"/>
              </w:numPr>
              <w:tabs>
                <w:tab w:val="left" w:pos="851"/>
              </w:tabs>
              <w:ind w:left="237" w:hanging="237"/>
              <w:jc w:val="left"/>
              <w:rPr>
                <w:rFonts w:ascii="Arial" w:eastAsia="Times New Roman" w:hAnsi="Arial" w:cs="Arial"/>
                <w:sz w:val="20"/>
                <w:szCs w:val="20"/>
              </w:rPr>
            </w:pPr>
            <w:r w:rsidRPr="00253D19">
              <w:rPr>
                <w:rFonts w:ascii="Arial" w:eastAsia="Times New Roman" w:hAnsi="Arial" w:cs="Arial"/>
                <w:sz w:val="20"/>
                <w:szCs w:val="20"/>
              </w:rPr>
              <w:t>фактов возбуждения уголовных и административных дел, связанных с осуществлением профессиональной деятельности в отношении руководителей Оценочной компании и Оценщиков</w:t>
            </w:r>
            <w:r>
              <w:rPr>
                <w:rFonts w:ascii="Arial" w:eastAsia="Times New Roman" w:hAnsi="Arial" w:cs="Arial"/>
                <w:sz w:val="20"/>
                <w:szCs w:val="20"/>
              </w:rPr>
              <w:t>;</w:t>
            </w:r>
          </w:p>
          <w:p w:rsidR="001738E2" w:rsidRPr="00253D19" w:rsidRDefault="001738E2" w:rsidP="000A3747">
            <w:pPr>
              <w:pStyle w:val="a3"/>
              <w:numPr>
                <w:ilvl w:val="0"/>
                <w:numId w:val="1"/>
              </w:numPr>
              <w:tabs>
                <w:tab w:val="left" w:pos="851"/>
              </w:tabs>
              <w:ind w:left="237" w:hanging="237"/>
              <w:jc w:val="left"/>
              <w:rPr>
                <w:rFonts w:ascii="Arial" w:eastAsia="Times New Roman" w:hAnsi="Arial" w:cs="Arial"/>
                <w:sz w:val="20"/>
                <w:szCs w:val="20"/>
              </w:rPr>
            </w:pPr>
            <w:r w:rsidRPr="00253D19">
              <w:rPr>
                <w:rFonts w:ascii="Arial" w:eastAsia="Times New Roman" w:hAnsi="Arial" w:cs="Arial"/>
                <w:sz w:val="20"/>
                <w:szCs w:val="20"/>
              </w:rPr>
              <w:t>сведений о возможной причастности к совершению преступлений в отношении работников Оценочной организации, связанных с их профессиональной деятельностью;</w:t>
            </w:r>
          </w:p>
          <w:p w:rsidR="001738E2" w:rsidRPr="00253D19" w:rsidRDefault="001738E2" w:rsidP="000A3747">
            <w:pPr>
              <w:pStyle w:val="a3"/>
              <w:numPr>
                <w:ilvl w:val="0"/>
                <w:numId w:val="1"/>
              </w:numPr>
              <w:tabs>
                <w:tab w:val="left" w:pos="851"/>
              </w:tabs>
              <w:ind w:left="237" w:hanging="237"/>
              <w:jc w:val="left"/>
              <w:rPr>
                <w:rFonts w:ascii="Arial" w:eastAsia="Times New Roman" w:hAnsi="Arial" w:cs="Arial"/>
                <w:sz w:val="20"/>
                <w:szCs w:val="20"/>
              </w:rPr>
            </w:pPr>
            <w:r w:rsidRPr="00253D19">
              <w:rPr>
                <w:rFonts w:ascii="Arial" w:eastAsia="Times New Roman" w:hAnsi="Arial" w:cs="Arial"/>
                <w:sz w:val="20"/>
                <w:szCs w:val="20"/>
              </w:rPr>
              <w:t>исполнительного производства о наложении ареста на имущество;</w:t>
            </w:r>
          </w:p>
          <w:p w:rsidR="001738E2" w:rsidRPr="00253D19" w:rsidRDefault="001738E2" w:rsidP="000A3747">
            <w:pPr>
              <w:pStyle w:val="a3"/>
              <w:numPr>
                <w:ilvl w:val="0"/>
                <w:numId w:val="1"/>
              </w:numPr>
              <w:tabs>
                <w:tab w:val="left" w:pos="851"/>
              </w:tabs>
              <w:ind w:left="237" w:hanging="237"/>
              <w:jc w:val="left"/>
              <w:rPr>
                <w:rFonts w:ascii="Arial" w:eastAsia="Times New Roman" w:hAnsi="Arial" w:cs="Arial"/>
                <w:sz w:val="20"/>
                <w:szCs w:val="20"/>
              </w:rPr>
            </w:pPr>
            <w:r w:rsidRPr="00253D19">
              <w:rPr>
                <w:rFonts w:ascii="Arial" w:eastAsia="Times New Roman" w:hAnsi="Arial" w:cs="Arial"/>
                <w:sz w:val="20"/>
                <w:szCs w:val="20"/>
              </w:rPr>
              <w:t>судебных процессов и разбирательств с участием Оценочной организации, имеющих существенное значение для их профессиональной деятельности, а также судебных решений, подтверждающих некомпетентность или низкий профессионализм работников Оценочной организации;</w:t>
            </w:r>
          </w:p>
          <w:p w:rsidR="001738E2" w:rsidRPr="00253D19" w:rsidRDefault="001738E2" w:rsidP="000A3747">
            <w:pPr>
              <w:pStyle w:val="a3"/>
              <w:numPr>
                <w:ilvl w:val="0"/>
                <w:numId w:val="1"/>
              </w:numPr>
              <w:tabs>
                <w:tab w:val="left" w:pos="851"/>
              </w:tabs>
              <w:ind w:left="237" w:hanging="237"/>
              <w:jc w:val="left"/>
              <w:rPr>
                <w:rFonts w:ascii="Arial" w:eastAsia="Times New Roman" w:hAnsi="Arial" w:cs="Arial"/>
                <w:sz w:val="20"/>
                <w:szCs w:val="20"/>
              </w:rPr>
            </w:pPr>
            <w:r w:rsidRPr="00253D19">
              <w:rPr>
                <w:rFonts w:ascii="Arial" w:eastAsia="Times New Roman" w:hAnsi="Arial" w:cs="Arial"/>
                <w:sz w:val="20"/>
                <w:szCs w:val="20"/>
              </w:rPr>
              <w:t>дисциплинарных санкций в отношении работников Оценочной организации со стороны саморегулируемой организации оценщиков (за исключением «предупреждение», «предписание», «штраф»; санкций со статусом «прекращено»/ «снято»);</w:t>
            </w:r>
          </w:p>
          <w:p w:rsidR="001738E2" w:rsidRPr="00253D19" w:rsidRDefault="001738E2" w:rsidP="000A3747">
            <w:pPr>
              <w:pStyle w:val="a3"/>
              <w:numPr>
                <w:ilvl w:val="0"/>
                <w:numId w:val="1"/>
              </w:numPr>
              <w:tabs>
                <w:tab w:val="left" w:pos="851"/>
              </w:tabs>
              <w:ind w:left="237" w:hanging="237"/>
              <w:jc w:val="left"/>
              <w:rPr>
                <w:rFonts w:ascii="Arial" w:eastAsia="Times New Roman" w:hAnsi="Arial" w:cs="Arial"/>
                <w:sz w:val="20"/>
                <w:szCs w:val="20"/>
              </w:rPr>
            </w:pPr>
            <w:r w:rsidRPr="00253D19">
              <w:rPr>
                <w:rFonts w:ascii="Arial" w:eastAsia="Times New Roman" w:hAnsi="Arial" w:cs="Arial"/>
                <w:sz w:val="20"/>
                <w:szCs w:val="20"/>
              </w:rPr>
              <w:t>случаев предоставления в Банк недостоверной информации, негативного опыта работы с Банком за последние 2 года, в том числе принятого ранее Банком решения о прекращении сотрудничества с Банком в рамках оценки имущества для целей залога;</w:t>
            </w:r>
          </w:p>
          <w:p w:rsidR="001738E2" w:rsidRPr="00253D19" w:rsidRDefault="001738E2" w:rsidP="000A3747">
            <w:pPr>
              <w:pStyle w:val="a3"/>
              <w:numPr>
                <w:ilvl w:val="0"/>
                <w:numId w:val="1"/>
              </w:numPr>
              <w:tabs>
                <w:tab w:val="left" w:pos="851"/>
              </w:tabs>
              <w:ind w:left="237" w:hanging="237"/>
              <w:jc w:val="left"/>
              <w:rPr>
                <w:rFonts w:ascii="Arial" w:eastAsia="Times New Roman" w:hAnsi="Arial" w:cs="Arial"/>
                <w:sz w:val="20"/>
                <w:szCs w:val="20"/>
              </w:rPr>
            </w:pPr>
            <w:r w:rsidRPr="00253D19">
              <w:rPr>
                <w:rFonts w:ascii="Arial" w:eastAsia="Times New Roman" w:hAnsi="Arial" w:cs="Arial"/>
                <w:sz w:val="20"/>
                <w:szCs w:val="20"/>
              </w:rPr>
              <w:t>невыполненных обязательств гражданско-правового характера перед Банком</w:t>
            </w:r>
          </w:p>
        </w:tc>
        <w:tc>
          <w:tcPr>
            <w:tcW w:w="2690" w:type="dxa"/>
          </w:tcPr>
          <w:p w:rsidR="001738E2" w:rsidRPr="00253D19" w:rsidRDefault="001738E2" w:rsidP="000F600C">
            <w:pPr>
              <w:pStyle w:val="a3"/>
              <w:tabs>
                <w:tab w:val="left" w:pos="851"/>
              </w:tabs>
              <w:jc w:val="center"/>
              <w:rPr>
                <w:rFonts w:ascii="Arial" w:eastAsia="Times New Roman" w:hAnsi="Arial" w:cs="Arial"/>
                <w:sz w:val="20"/>
                <w:szCs w:val="20"/>
              </w:rPr>
            </w:pPr>
            <w:r w:rsidRPr="00253D19">
              <w:rPr>
                <w:rFonts w:ascii="Arial" w:eastAsia="Times New Roman" w:hAnsi="Arial" w:cs="Arial"/>
                <w:sz w:val="20"/>
                <w:szCs w:val="20"/>
              </w:rPr>
              <w:lastRenderedPageBreak/>
              <w:t>Обязательно</w:t>
            </w:r>
          </w:p>
        </w:tc>
      </w:tr>
    </w:tbl>
    <w:p w:rsidR="001F1E8A" w:rsidRDefault="001F1E8A"/>
    <w:p w:rsidR="001F1E8A" w:rsidRPr="00067BDA" w:rsidRDefault="001F1E8A" w:rsidP="000A3747">
      <w:pPr>
        <w:jc w:val="both"/>
        <w:rPr>
          <w:rFonts w:ascii="Arial" w:hAnsi="Arial" w:cs="Arial"/>
          <w:sz w:val="20"/>
          <w:szCs w:val="20"/>
        </w:rPr>
      </w:pPr>
      <w:r w:rsidRPr="00067BDA">
        <w:rPr>
          <w:rFonts w:ascii="Arial" w:hAnsi="Arial" w:cs="Arial"/>
          <w:sz w:val="20"/>
          <w:szCs w:val="20"/>
        </w:rPr>
        <w:t xml:space="preserve">Обращаем внимание, что </w:t>
      </w:r>
      <w:r w:rsidR="00067BDA" w:rsidRPr="00067BDA">
        <w:rPr>
          <w:rFonts w:ascii="Arial" w:hAnsi="Arial" w:cs="Arial"/>
          <w:sz w:val="20"/>
          <w:szCs w:val="20"/>
        </w:rPr>
        <w:t xml:space="preserve">взаимодействие Банка с Оценочной компанией может быть </w:t>
      </w:r>
      <w:proofErr w:type="spellStart"/>
      <w:r w:rsidR="00067BDA" w:rsidRPr="00067BDA">
        <w:rPr>
          <w:rFonts w:ascii="Arial" w:hAnsi="Arial" w:cs="Arial"/>
          <w:sz w:val="20"/>
          <w:szCs w:val="20"/>
        </w:rPr>
        <w:t>приостанавлено</w:t>
      </w:r>
      <w:proofErr w:type="spellEnd"/>
      <w:r w:rsidR="00067BDA" w:rsidRPr="00067BDA">
        <w:rPr>
          <w:rFonts w:ascii="Arial" w:hAnsi="Arial" w:cs="Arial"/>
          <w:sz w:val="20"/>
          <w:szCs w:val="20"/>
        </w:rPr>
        <w:t xml:space="preserve">, Оценочная компания исключена </w:t>
      </w:r>
      <w:proofErr w:type="gramStart"/>
      <w:r w:rsidR="00067BDA" w:rsidRPr="00067BDA">
        <w:rPr>
          <w:rFonts w:ascii="Arial" w:hAnsi="Arial" w:cs="Arial"/>
          <w:sz w:val="20"/>
          <w:szCs w:val="20"/>
        </w:rPr>
        <w:t xml:space="preserve">из  </w:t>
      </w:r>
      <w:r w:rsidRPr="00067BDA">
        <w:rPr>
          <w:rFonts w:ascii="Arial" w:hAnsi="Arial" w:cs="Arial"/>
          <w:sz w:val="20"/>
          <w:szCs w:val="20"/>
        </w:rPr>
        <w:t>Перечня</w:t>
      </w:r>
      <w:proofErr w:type="gramEnd"/>
      <w:r w:rsidRPr="00067BDA">
        <w:rPr>
          <w:rFonts w:ascii="Arial" w:hAnsi="Arial" w:cs="Arial"/>
          <w:sz w:val="20"/>
          <w:szCs w:val="20"/>
        </w:rPr>
        <w:t xml:space="preserve"> рекомендуемых Банком оценочных компаний:</w:t>
      </w:r>
    </w:p>
    <w:p w:rsidR="00067BDA" w:rsidRPr="00067BDA" w:rsidRDefault="00067BDA" w:rsidP="00067BDA">
      <w:pPr>
        <w:pStyle w:val="a3"/>
        <w:numPr>
          <w:ilvl w:val="0"/>
          <w:numId w:val="3"/>
        </w:numPr>
        <w:tabs>
          <w:tab w:val="left" w:pos="851"/>
        </w:tabs>
        <w:rPr>
          <w:rFonts w:ascii="Arial" w:eastAsia="Times New Roman" w:hAnsi="Arial" w:cs="Arial"/>
          <w:sz w:val="20"/>
          <w:szCs w:val="20"/>
        </w:rPr>
      </w:pPr>
      <w:r w:rsidRPr="00067BDA">
        <w:rPr>
          <w:rFonts w:ascii="Arial" w:eastAsia="Times New Roman" w:hAnsi="Arial" w:cs="Arial"/>
          <w:sz w:val="20"/>
          <w:szCs w:val="20"/>
        </w:rPr>
        <w:t>при получении информации негативного характера в отношении Оценочной компании/Оценщика;</w:t>
      </w:r>
    </w:p>
    <w:p w:rsidR="00067BDA" w:rsidRPr="00067BDA" w:rsidRDefault="00067BDA" w:rsidP="00067BDA">
      <w:pPr>
        <w:pStyle w:val="a3"/>
        <w:numPr>
          <w:ilvl w:val="0"/>
          <w:numId w:val="3"/>
        </w:numPr>
        <w:tabs>
          <w:tab w:val="left" w:pos="851"/>
        </w:tabs>
        <w:rPr>
          <w:rFonts w:ascii="Arial" w:eastAsia="Times New Roman" w:hAnsi="Arial" w:cs="Arial"/>
          <w:sz w:val="20"/>
          <w:szCs w:val="20"/>
        </w:rPr>
      </w:pPr>
      <w:r w:rsidRPr="00067BDA">
        <w:rPr>
          <w:rFonts w:ascii="Arial" w:eastAsia="Times New Roman" w:hAnsi="Arial" w:cs="Arial"/>
          <w:sz w:val="20"/>
          <w:szCs w:val="20"/>
        </w:rPr>
        <w:t>при установлении фактов грубых нарушений и/или злоупотреблений, допущенных Оценочной компанией при подготовке Отчета об оценке</w:t>
      </w:r>
      <w:r>
        <w:rPr>
          <w:rStyle w:val="a7"/>
          <w:rFonts w:ascii="Arial" w:eastAsia="Times New Roman" w:hAnsi="Arial" w:cs="Arial"/>
          <w:sz w:val="20"/>
          <w:szCs w:val="20"/>
        </w:rPr>
        <w:footnoteReference w:id="2"/>
      </w:r>
      <w:r w:rsidRPr="00067BDA">
        <w:rPr>
          <w:rFonts w:ascii="Arial" w:eastAsia="Times New Roman" w:hAnsi="Arial" w:cs="Arial"/>
          <w:sz w:val="20"/>
          <w:szCs w:val="20"/>
        </w:rPr>
        <w:t>. При этом нарушения могут быть обнаружены как в ходе проверки Отчета об оценке на этапе рассмотрения кредитной заявки, так и по выданным кредитам;</w:t>
      </w:r>
    </w:p>
    <w:p w:rsidR="00067BDA" w:rsidRPr="00067BDA" w:rsidRDefault="00067BDA" w:rsidP="00067BDA">
      <w:pPr>
        <w:pStyle w:val="a3"/>
        <w:numPr>
          <w:ilvl w:val="0"/>
          <w:numId w:val="3"/>
        </w:numPr>
        <w:tabs>
          <w:tab w:val="left" w:pos="851"/>
        </w:tabs>
        <w:rPr>
          <w:rFonts w:ascii="Arial" w:eastAsia="Times New Roman" w:hAnsi="Arial" w:cs="Arial"/>
          <w:sz w:val="20"/>
          <w:szCs w:val="20"/>
        </w:rPr>
      </w:pPr>
      <w:r w:rsidRPr="00067BDA">
        <w:rPr>
          <w:rFonts w:ascii="Arial" w:eastAsia="Times New Roman" w:hAnsi="Arial" w:cs="Arial"/>
          <w:sz w:val="20"/>
          <w:szCs w:val="20"/>
        </w:rPr>
        <w:t>в случае непринятия Банком Отчета об оценке вследствие допущенных Оценочной компанией ошибок и/или нарушений требований Банка, которые не были устранены оценщиком без мотивированного на то обоснования;</w:t>
      </w:r>
    </w:p>
    <w:p w:rsidR="00067BDA" w:rsidRPr="00067BDA" w:rsidRDefault="00067BDA" w:rsidP="00067BDA">
      <w:pPr>
        <w:pStyle w:val="a3"/>
        <w:numPr>
          <w:ilvl w:val="0"/>
          <w:numId w:val="3"/>
        </w:numPr>
        <w:tabs>
          <w:tab w:val="left" w:pos="851"/>
        </w:tabs>
        <w:rPr>
          <w:rFonts w:ascii="Arial" w:eastAsia="Times New Roman" w:hAnsi="Arial" w:cs="Arial"/>
          <w:sz w:val="20"/>
          <w:szCs w:val="20"/>
        </w:rPr>
      </w:pPr>
      <w:r w:rsidRPr="00067BDA">
        <w:rPr>
          <w:rFonts w:ascii="Arial" w:eastAsia="Times New Roman" w:hAnsi="Arial" w:cs="Arial"/>
          <w:sz w:val="20"/>
          <w:szCs w:val="20"/>
        </w:rPr>
        <w:t>при не предоставлении Оценочной компанией актуальных квалификационных аттестатов Оценщика, полисов страхования ответственности Оценочной компании/Оценщика, сведений об изменении должностных лиц/ состава Оценщиков (исполнителей работ по оценке имущества).</w:t>
      </w:r>
    </w:p>
    <w:p w:rsidR="001F1E8A" w:rsidRPr="00067BDA" w:rsidRDefault="00067BDA" w:rsidP="00067BDA">
      <w:pPr>
        <w:pStyle w:val="a3"/>
        <w:numPr>
          <w:ilvl w:val="0"/>
          <w:numId w:val="3"/>
        </w:numPr>
        <w:tabs>
          <w:tab w:val="left" w:pos="851"/>
        </w:tabs>
        <w:rPr>
          <w:rFonts w:ascii="Arial" w:eastAsia="Times New Roman" w:hAnsi="Arial" w:cs="Arial"/>
          <w:sz w:val="20"/>
          <w:szCs w:val="20"/>
        </w:rPr>
      </w:pPr>
      <w:r w:rsidRPr="00067BDA">
        <w:rPr>
          <w:rFonts w:ascii="Arial" w:eastAsia="Times New Roman" w:hAnsi="Arial" w:cs="Arial"/>
          <w:sz w:val="20"/>
          <w:szCs w:val="20"/>
        </w:rPr>
        <w:t>по иным причинам, позволяющим сделать вывод о несоответствии Оценочной компании и/или Оценщика требованиям законодательства об оценочной деятельности и Банка.</w:t>
      </w:r>
    </w:p>
    <w:p w:rsidR="00063A1D" w:rsidRDefault="00063A1D" w:rsidP="001F1E8A">
      <w:pPr>
        <w:ind w:firstLine="600"/>
        <w:jc w:val="both"/>
        <w:rPr>
          <w:rFonts w:ascii="Montserrat" w:hAnsi="Montserrat" w:cs="Arial"/>
          <w:sz w:val="20"/>
          <w:szCs w:val="20"/>
        </w:rPr>
      </w:pPr>
    </w:p>
    <w:p w:rsidR="00067BDA" w:rsidRDefault="00067BDA" w:rsidP="001F1E8A">
      <w:pPr>
        <w:ind w:firstLine="600"/>
        <w:jc w:val="both"/>
        <w:rPr>
          <w:rFonts w:ascii="Montserrat" w:hAnsi="Montserrat" w:cs="Arial"/>
          <w:sz w:val="20"/>
          <w:szCs w:val="20"/>
        </w:rPr>
      </w:pPr>
    </w:p>
    <w:sectPr w:rsidR="00067BDA" w:rsidSect="000A2CA2">
      <w:pgSz w:w="11906" w:h="16838"/>
      <w:pgMar w:top="851"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4B7D" w:rsidRDefault="00D54B7D" w:rsidP="001738E2">
      <w:r>
        <w:separator/>
      </w:r>
    </w:p>
  </w:endnote>
  <w:endnote w:type="continuationSeparator" w:id="0">
    <w:p w:rsidR="00D54B7D" w:rsidRDefault="00D54B7D" w:rsidP="00173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ontserrat">
    <w:altName w:val="Calibri"/>
    <w:charset w:val="CC"/>
    <w:family w:val="auto"/>
    <w:pitch w:val="variable"/>
    <w:sig w:usb0="2000020F" w:usb1="00000003"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4B7D" w:rsidRDefault="00D54B7D" w:rsidP="001738E2">
      <w:r>
        <w:separator/>
      </w:r>
    </w:p>
  </w:footnote>
  <w:footnote w:type="continuationSeparator" w:id="0">
    <w:p w:rsidR="00D54B7D" w:rsidRDefault="00D54B7D" w:rsidP="001738E2">
      <w:r>
        <w:continuationSeparator/>
      </w:r>
    </w:p>
  </w:footnote>
  <w:footnote w:id="1">
    <w:p w:rsidR="001738E2" w:rsidRDefault="001738E2" w:rsidP="001738E2">
      <w:pPr>
        <w:pStyle w:val="a5"/>
      </w:pPr>
      <w:r>
        <w:rPr>
          <w:rStyle w:val="a7"/>
        </w:rPr>
        <w:footnoteRef/>
      </w:r>
      <w:r>
        <w:t xml:space="preserve"> Кроме частнопрактикующих оценщиков</w:t>
      </w:r>
    </w:p>
  </w:footnote>
  <w:footnote w:id="2">
    <w:p w:rsidR="00067BDA" w:rsidRPr="00067BDA" w:rsidRDefault="00067BDA" w:rsidP="000A2CA2">
      <w:pPr>
        <w:pStyle w:val="a3"/>
        <w:tabs>
          <w:tab w:val="left" w:pos="709"/>
        </w:tabs>
        <w:rPr>
          <w:rFonts w:ascii="Arial" w:eastAsia="Times New Roman" w:hAnsi="Arial" w:cs="Arial"/>
          <w:sz w:val="16"/>
          <w:szCs w:val="16"/>
        </w:rPr>
      </w:pPr>
      <w:r>
        <w:rPr>
          <w:rStyle w:val="a7"/>
        </w:rPr>
        <w:footnoteRef/>
      </w:r>
      <w:r>
        <w:t xml:space="preserve"> </w:t>
      </w:r>
      <w:r w:rsidRPr="00067BDA">
        <w:rPr>
          <w:rFonts w:ascii="Arial" w:eastAsia="Times New Roman" w:hAnsi="Arial" w:cs="Arial"/>
          <w:sz w:val="16"/>
          <w:szCs w:val="16"/>
        </w:rPr>
        <w:t>К грубым нарушениям и/или злоупотреблениям, приводящим к невозможности использования Банком результатов оценки, относятся:</w:t>
      </w:r>
    </w:p>
    <w:p w:rsidR="00067BDA" w:rsidRPr="00067BDA" w:rsidRDefault="00067BDA" w:rsidP="000A2CA2">
      <w:pPr>
        <w:pStyle w:val="a3"/>
        <w:numPr>
          <w:ilvl w:val="1"/>
          <w:numId w:val="4"/>
        </w:numPr>
        <w:tabs>
          <w:tab w:val="left" w:pos="709"/>
        </w:tabs>
        <w:suppressAutoHyphens/>
        <w:ind w:left="709" w:hanging="359"/>
        <w:rPr>
          <w:rFonts w:ascii="Arial" w:eastAsia="Times New Roman" w:hAnsi="Arial" w:cs="Arial"/>
          <w:sz w:val="16"/>
          <w:szCs w:val="16"/>
        </w:rPr>
      </w:pPr>
      <w:r w:rsidRPr="00067BDA">
        <w:rPr>
          <w:rFonts w:ascii="Arial" w:eastAsia="Times New Roman" w:hAnsi="Arial" w:cs="Arial"/>
          <w:sz w:val="16"/>
          <w:szCs w:val="16"/>
        </w:rPr>
        <w:t>нарушения требований Федерального закона №135-ФЗ и Федеральных стандартов оценки, влекущие за собой существенные искажения результата оценки и отклонение стоимости объекта оценки, определенной в Отчете об оценке, от рыночной стоимости объекта оценки более чем на 20%;</w:t>
      </w:r>
    </w:p>
    <w:p w:rsidR="00067BDA" w:rsidRPr="00067BDA" w:rsidRDefault="00067BDA" w:rsidP="000A2CA2">
      <w:pPr>
        <w:pStyle w:val="a3"/>
        <w:numPr>
          <w:ilvl w:val="1"/>
          <w:numId w:val="4"/>
        </w:numPr>
        <w:tabs>
          <w:tab w:val="left" w:pos="709"/>
        </w:tabs>
        <w:suppressAutoHyphens/>
        <w:ind w:left="709" w:hanging="359"/>
        <w:rPr>
          <w:rFonts w:ascii="Arial" w:eastAsia="Times New Roman" w:hAnsi="Arial" w:cs="Arial"/>
          <w:sz w:val="16"/>
          <w:szCs w:val="16"/>
        </w:rPr>
      </w:pPr>
      <w:r w:rsidRPr="00067BDA">
        <w:rPr>
          <w:rFonts w:ascii="Arial" w:eastAsia="Times New Roman" w:hAnsi="Arial" w:cs="Arial"/>
          <w:sz w:val="16"/>
          <w:szCs w:val="16"/>
        </w:rPr>
        <w:t>использование в расчетах недостоверной информации;</w:t>
      </w:r>
    </w:p>
    <w:p w:rsidR="00067BDA" w:rsidRPr="000A2CA2" w:rsidRDefault="00067BDA" w:rsidP="000A2CA2">
      <w:pPr>
        <w:pStyle w:val="a3"/>
        <w:numPr>
          <w:ilvl w:val="1"/>
          <w:numId w:val="4"/>
        </w:numPr>
        <w:tabs>
          <w:tab w:val="left" w:pos="709"/>
        </w:tabs>
        <w:suppressAutoHyphens/>
        <w:ind w:left="709" w:hanging="359"/>
        <w:rPr>
          <w:rFonts w:ascii="Arial" w:eastAsia="Times New Roman" w:hAnsi="Arial" w:cs="Arial"/>
          <w:sz w:val="16"/>
          <w:szCs w:val="16"/>
        </w:rPr>
      </w:pPr>
      <w:r w:rsidRPr="00067BDA">
        <w:rPr>
          <w:rFonts w:ascii="Arial" w:eastAsia="Times New Roman" w:hAnsi="Arial" w:cs="Arial"/>
          <w:sz w:val="16"/>
          <w:szCs w:val="16"/>
        </w:rPr>
        <w:t>фальсификация данных об объекте оценки или объектах-аналогах.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951FA"/>
    <w:multiLevelType w:val="multilevel"/>
    <w:tmpl w:val="0DE4266C"/>
    <w:lvl w:ilvl="0">
      <w:start w:val="1"/>
      <w:numFmt w:val="decimal"/>
      <w:lvlText w:val="%1."/>
      <w:lvlJc w:val="left"/>
      <w:pPr>
        <w:ind w:left="1778" w:hanging="360"/>
      </w:pPr>
      <w:rPr>
        <w:rFonts w:hint="default"/>
      </w:rPr>
    </w:lvl>
    <w:lvl w:ilvl="1">
      <w:start w:val="1"/>
      <w:numFmt w:val="bullet"/>
      <w:lvlText w:val=""/>
      <w:lvlJc w:val="left"/>
      <w:pPr>
        <w:ind w:left="2629" w:hanging="360"/>
      </w:pPr>
      <w:rPr>
        <w:rFonts w:ascii="Symbol" w:hAnsi="Symbol"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87C1390"/>
    <w:multiLevelType w:val="hybridMultilevel"/>
    <w:tmpl w:val="5FE4223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 w15:restartNumberingAfterBreak="0">
    <w:nsid w:val="1CC60BFA"/>
    <w:multiLevelType w:val="hybridMultilevel"/>
    <w:tmpl w:val="3FBEB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7772B3"/>
    <w:multiLevelType w:val="hybridMultilevel"/>
    <w:tmpl w:val="1ED8A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8E2"/>
    <w:rsid w:val="00063A1D"/>
    <w:rsid w:val="00067BDA"/>
    <w:rsid w:val="000A2CA2"/>
    <w:rsid w:val="000A3747"/>
    <w:rsid w:val="001738E2"/>
    <w:rsid w:val="001F1E8A"/>
    <w:rsid w:val="00232DFA"/>
    <w:rsid w:val="00522E67"/>
    <w:rsid w:val="005B28BB"/>
    <w:rsid w:val="00685442"/>
    <w:rsid w:val="007B3420"/>
    <w:rsid w:val="00A15401"/>
    <w:rsid w:val="00C6717B"/>
    <w:rsid w:val="00D54B7D"/>
    <w:rsid w:val="00FB05FE"/>
    <w:rsid w:val="00FE4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24D33-8CE8-4241-BBF3-7239A6102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38E2"/>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методики"/>
    <w:basedOn w:val="a"/>
    <w:link w:val="a4"/>
    <w:uiPriority w:val="99"/>
    <w:rsid w:val="001738E2"/>
    <w:pPr>
      <w:jc w:val="both"/>
    </w:pPr>
    <w:rPr>
      <w:rFonts w:ascii="Times New Roman" w:eastAsia="Calibri" w:hAnsi="Times New Roman" w:cs="Times New Roman"/>
      <w:sz w:val="24"/>
      <w:szCs w:val="24"/>
      <w:lang w:eastAsia="ru-RU"/>
    </w:rPr>
  </w:style>
  <w:style w:type="paragraph" w:styleId="a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З"/>
    <w:basedOn w:val="a"/>
    <w:link w:val="a6"/>
    <w:uiPriority w:val="99"/>
    <w:unhideWhenUsed/>
    <w:qFormat/>
    <w:rsid w:val="001738E2"/>
    <w:rPr>
      <w:sz w:val="20"/>
      <w:szCs w:val="20"/>
    </w:rPr>
  </w:style>
  <w:style w:type="character" w:customStyle="1" w:styleId="a6">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З Знак"/>
    <w:basedOn w:val="a0"/>
    <w:link w:val="a5"/>
    <w:uiPriority w:val="99"/>
    <w:rsid w:val="001738E2"/>
    <w:rPr>
      <w:sz w:val="20"/>
      <w:szCs w:val="20"/>
    </w:rPr>
  </w:style>
  <w:style w:type="character" w:styleId="a7">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basedOn w:val="a0"/>
    <w:uiPriority w:val="99"/>
    <w:unhideWhenUsed/>
    <w:qFormat/>
    <w:rsid w:val="001738E2"/>
    <w:rPr>
      <w:vertAlign w:val="superscript"/>
    </w:rPr>
  </w:style>
  <w:style w:type="table" w:styleId="a8">
    <w:name w:val="Table Grid"/>
    <w:basedOn w:val="a1"/>
    <w:uiPriority w:val="59"/>
    <w:rsid w:val="00173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Текст методики Знак"/>
    <w:basedOn w:val="a0"/>
    <w:link w:val="a3"/>
    <w:uiPriority w:val="99"/>
    <w:rsid w:val="001738E2"/>
    <w:rPr>
      <w:rFonts w:ascii="Times New Roman" w:eastAsia="Calibri" w:hAnsi="Times New Roman" w:cs="Times New Roman"/>
      <w:sz w:val="24"/>
      <w:szCs w:val="24"/>
      <w:lang w:eastAsia="ru-RU"/>
    </w:rPr>
  </w:style>
  <w:style w:type="paragraph" w:styleId="a9">
    <w:name w:val="List Paragraph"/>
    <w:basedOn w:val="a"/>
    <w:uiPriority w:val="34"/>
    <w:qFormat/>
    <w:rsid w:val="00063A1D"/>
    <w:pPr>
      <w:ind w:left="720"/>
      <w:contextualSpacing/>
    </w:pPr>
  </w:style>
  <w:style w:type="paragraph" w:styleId="aa">
    <w:name w:val="endnote text"/>
    <w:basedOn w:val="a"/>
    <w:link w:val="ab"/>
    <w:uiPriority w:val="99"/>
    <w:semiHidden/>
    <w:unhideWhenUsed/>
    <w:rsid w:val="00067BDA"/>
    <w:rPr>
      <w:sz w:val="20"/>
      <w:szCs w:val="20"/>
    </w:rPr>
  </w:style>
  <w:style w:type="character" w:customStyle="1" w:styleId="ab">
    <w:name w:val="Текст концевой сноски Знак"/>
    <w:basedOn w:val="a0"/>
    <w:link w:val="aa"/>
    <w:uiPriority w:val="99"/>
    <w:semiHidden/>
    <w:rsid w:val="00067BDA"/>
    <w:rPr>
      <w:sz w:val="20"/>
      <w:szCs w:val="20"/>
    </w:rPr>
  </w:style>
  <w:style w:type="character" w:styleId="ac">
    <w:name w:val="endnote reference"/>
    <w:basedOn w:val="a0"/>
    <w:uiPriority w:val="99"/>
    <w:semiHidden/>
    <w:unhideWhenUsed/>
    <w:rsid w:val="00067BDA"/>
    <w:rPr>
      <w:vertAlign w:val="superscript"/>
    </w:rPr>
  </w:style>
  <w:style w:type="paragraph" w:styleId="ad">
    <w:name w:val="Balloon Text"/>
    <w:basedOn w:val="a"/>
    <w:link w:val="ae"/>
    <w:uiPriority w:val="99"/>
    <w:semiHidden/>
    <w:unhideWhenUsed/>
    <w:rsid w:val="000A3747"/>
    <w:rPr>
      <w:rFonts w:ascii="Segoe UI" w:hAnsi="Segoe UI" w:cs="Segoe UI"/>
      <w:sz w:val="18"/>
      <w:szCs w:val="18"/>
    </w:rPr>
  </w:style>
  <w:style w:type="character" w:customStyle="1" w:styleId="ae">
    <w:name w:val="Текст выноски Знак"/>
    <w:basedOn w:val="a0"/>
    <w:link w:val="ad"/>
    <w:uiPriority w:val="99"/>
    <w:semiHidden/>
    <w:rsid w:val="000A37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59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E9549-6D6A-47D0-B101-80362ADD8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836</Words>
  <Characters>4767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Кириллова Елена Александровна</dc:creator>
  <cp:keywords/>
  <dc:description/>
  <cp:lastModifiedBy>Блинова Дарина Владимировна</cp:lastModifiedBy>
  <cp:revision>3</cp:revision>
  <dcterms:created xsi:type="dcterms:W3CDTF">2024-02-02T10:15:00Z</dcterms:created>
  <dcterms:modified xsi:type="dcterms:W3CDTF">2024-02-05T14:34:00Z</dcterms:modified>
</cp:coreProperties>
</file>