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A86A45" w:rsidRDefault="00A86A45" w:rsidP="00A86A4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</w:t>
            </w:r>
          </w:p>
          <w:p w:rsidR="00B43CD6" w:rsidRPr="00333BAE" w:rsidRDefault="00A86A45" w:rsidP="00A86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6747B" w:rsidRDefault="00351C34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351C34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13.11</w:t>
            </w:r>
            <w:bookmarkStart w:id="0" w:name="_GoBack"/>
            <w:bookmarkEnd w:id="0"/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26747B" w:rsidRDefault="009E1312" w:rsidP="0026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Обслуживание 3х систем газового пожаротушения в Головном офисе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F7C" w:rsidRDefault="009E1312" w:rsidP="00CA1DCB">
            <w:pPr>
              <w:pStyle w:val="a6"/>
            </w:pPr>
            <w:r w:rsidRPr="009E1312">
              <w:t>Обслуживание 3х систем АСПТ, газовых модулей "ЗАРЯ" и составных частей системы пожаротушения.</w:t>
            </w:r>
            <w:r>
              <w:t xml:space="preserve"> П</w:t>
            </w:r>
            <w:r w:rsidRPr="009E1312">
              <w:t>рофилактические работы, устранение неисправностей, проведение планово</w:t>
            </w:r>
            <w:r>
              <w:t>-</w:t>
            </w:r>
            <w:r w:rsidRPr="009E1312">
              <w:t>предупредительного и текущего ремонта согласно РД 25.964-90</w:t>
            </w:r>
          </w:p>
          <w:p w:rsidR="009E1312" w:rsidRPr="00C83F7C" w:rsidRDefault="009E1312" w:rsidP="00CA1DCB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Pr="00B43CD6" w:rsidRDefault="0026747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Наличие лицензии МЧС и профильных специалистов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8C1451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Работы выполняются в период с 01.01.202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4</w:t>
            </w: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4</w:t>
            </w: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еже</w:t>
            </w:r>
            <w:r w:rsidR="009E1312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месячно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8C1451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Оплата осуществляется в безналичной форме на основании выставленных Исполнителем счетов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CB6B1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85A"/>
    <w:multiLevelType w:val="hybridMultilevel"/>
    <w:tmpl w:val="1E7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160E"/>
    <w:multiLevelType w:val="hybridMultilevel"/>
    <w:tmpl w:val="9D80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0704E"/>
    <w:rsid w:val="00251A3E"/>
    <w:rsid w:val="00264249"/>
    <w:rsid w:val="0026747B"/>
    <w:rsid w:val="00344CA1"/>
    <w:rsid w:val="00351614"/>
    <w:rsid w:val="00351C34"/>
    <w:rsid w:val="00380639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1E0D"/>
    <w:rsid w:val="007F7981"/>
    <w:rsid w:val="00864C1F"/>
    <w:rsid w:val="00864F1B"/>
    <w:rsid w:val="008C1451"/>
    <w:rsid w:val="00973009"/>
    <w:rsid w:val="009830D7"/>
    <w:rsid w:val="009C669D"/>
    <w:rsid w:val="009D72EB"/>
    <w:rsid w:val="009E1312"/>
    <w:rsid w:val="00A22C91"/>
    <w:rsid w:val="00A86A45"/>
    <w:rsid w:val="00AF790E"/>
    <w:rsid w:val="00B30E1D"/>
    <w:rsid w:val="00B43CD6"/>
    <w:rsid w:val="00B91D0A"/>
    <w:rsid w:val="00BB43D8"/>
    <w:rsid w:val="00C32B90"/>
    <w:rsid w:val="00C51D64"/>
    <w:rsid w:val="00C71D7B"/>
    <w:rsid w:val="00C74472"/>
    <w:rsid w:val="00C83F7C"/>
    <w:rsid w:val="00C9413C"/>
    <w:rsid w:val="00CA1DCB"/>
    <w:rsid w:val="00CB6B11"/>
    <w:rsid w:val="00CF6ECF"/>
    <w:rsid w:val="00D01DDB"/>
    <w:rsid w:val="00D15F92"/>
    <w:rsid w:val="00D51B59"/>
    <w:rsid w:val="00DB31B8"/>
    <w:rsid w:val="00DC6529"/>
    <w:rsid w:val="00DF4065"/>
    <w:rsid w:val="00DF591D"/>
    <w:rsid w:val="00E4598B"/>
    <w:rsid w:val="00E8471D"/>
    <w:rsid w:val="00E87480"/>
    <w:rsid w:val="00ED2293"/>
    <w:rsid w:val="00F07382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7363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B1E0-F7A1-4AB7-80E2-5148C822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48</cp:revision>
  <dcterms:created xsi:type="dcterms:W3CDTF">2022-11-03T13:43:00Z</dcterms:created>
  <dcterms:modified xsi:type="dcterms:W3CDTF">2023-11-13T07:05:00Z</dcterms:modified>
</cp:coreProperties>
</file>